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13F" w:rsidRPr="00D7740F" w:rsidRDefault="00B1113F" w:rsidP="00D7740F">
      <w:pPr>
        <w:bidi w:val="0"/>
        <w:spacing w:after="120" w:line="240" w:lineRule="auto"/>
        <w:jc w:val="center"/>
        <w:rPr>
          <w:rFonts w:asciiTheme="majorBidi" w:hAnsiTheme="majorBidi" w:cstheme="majorBidi"/>
          <w:b/>
          <w:bCs/>
          <w:sz w:val="32"/>
          <w:szCs w:val="32"/>
          <w:lang w:bidi="ar-EG"/>
        </w:rPr>
      </w:pPr>
      <w:r w:rsidRPr="00D7740F">
        <w:rPr>
          <w:rFonts w:asciiTheme="majorBidi" w:hAnsiTheme="majorBidi" w:cstheme="majorBidi"/>
          <w:b/>
          <w:bCs/>
          <w:sz w:val="32"/>
          <w:szCs w:val="32"/>
          <w:lang w:bidi="ar-EG"/>
        </w:rPr>
        <w:t xml:space="preserve">Role of miRNA-155 and miRNA-204 in Pediatric Gastritis </w:t>
      </w:r>
    </w:p>
    <w:p w:rsidR="00B1113F" w:rsidRPr="009C600A" w:rsidRDefault="00B1113F" w:rsidP="00D7740F">
      <w:pPr>
        <w:bidi w:val="0"/>
        <w:spacing w:after="120" w:line="240" w:lineRule="auto"/>
        <w:jc w:val="center"/>
        <w:rPr>
          <w:rFonts w:asciiTheme="majorBidi" w:hAnsiTheme="majorBidi" w:cstheme="majorBidi"/>
          <w:i/>
          <w:iCs/>
          <w:sz w:val="24"/>
          <w:szCs w:val="24"/>
          <w:lang w:bidi="ar-EG"/>
        </w:rPr>
      </w:pPr>
      <w:r w:rsidRPr="009C600A">
        <w:rPr>
          <w:rFonts w:asciiTheme="majorBidi" w:hAnsiTheme="majorBidi" w:cstheme="majorBidi"/>
          <w:i/>
          <w:iCs/>
          <w:sz w:val="24"/>
          <w:szCs w:val="24"/>
          <w:lang w:bidi="ar-EG"/>
        </w:rPr>
        <w:t xml:space="preserve">Manal </w:t>
      </w:r>
      <w:proofErr w:type="spellStart"/>
      <w:r w:rsidRPr="009C600A">
        <w:rPr>
          <w:rFonts w:asciiTheme="majorBidi" w:hAnsiTheme="majorBidi" w:cstheme="majorBidi"/>
          <w:i/>
          <w:iCs/>
          <w:sz w:val="24"/>
          <w:szCs w:val="24"/>
          <w:lang w:bidi="ar-EG"/>
        </w:rPr>
        <w:t>Sadek</w:t>
      </w:r>
      <w:proofErr w:type="spellEnd"/>
      <w:r w:rsidRPr="009C600A">
        <w:rPr>
          <w:rFonts w:asciiTheme="majorBidi" w:hAnsiTheme="majorBidi" w:cstheme="majorBidi"/>
          <w:i/>
          <w:iCs/>
          <w:sz w:val="24"/>
          <w:szCs w:val="24"/>
          <w:lang w:bidi="ar-EG"/>
        </w:rPr>
        <w:t xml:space="preserve"> El-Defrawy</w:t>
      </w:r>
      <w:r w:rsidR="009C600A">
        <w:rPr>
          <w:rFonts w:asciiTheme="majorBidi" w:hAnsiTheme="majorBidi" w:cstheme="majorBidi"/>
          <w:i/>
          <w:iCs/>
          <w:sz w:val="24"/>
          <w:szCs w:val="24"/>
          <w:vertAlign w:val="superscript"/>
          <w:lang w:bidi="ar-EG"/>
        </w:rPr>
        <w:t>1</w:t>
      </w:r>
      <w:r w:rsidRPr="009C600A">
        <w:rPr>
          <w:rFonts w:asciiTheme="majorBidi" w:hAnsiTheme="majorBidi" w:cstheme="majorBidi"/>
          <w:i/>
          <w:iCs/>
          <w:sz w:val="24"/>
          <w:szCs w:val="24"/>
          <w:lang w:bidi="ar-EG"/>
        </w:rPr>
        <w:t xml:space="preserve">, Ola </w:t>
      </w:r>
      <w:proofErr w:type="spellStart"/>
      <w:r w:rsidRPr="009C600A">
        <w:rPr>
          <w:rFonts w:asciiTheme="majorBidi" w:hAnsiTheme="majorBidi" w:cstheme="majorBidi"/>
          <w:i/>
          <w:iCs/>
          <w:sz w:val="24"/>
          <w:szCs w:val="24"/>
          <w:lang w:bidi="ar-EG"/>
        </w:rPr>
        <w:t>Galal</w:t>
      </w:r>
      <w:proofErr w:type="spellEnd"/>
      <w:r w:rsidRPr="009C600A">
        <w:rPr>
          <w:rFonts w:asciiTheme="majorBidi" w:hAnsiTheme="majorBidi" w:cstheme="majorBidi"/>
          <w:i/>
          <w:iCs/>
          <w:sz w:val="24"/>
          <w:szCs w:val="24"/>
          <w:lang w:bidi="ar-EG"/>
        </w:rPr>
        <w:t xml:space="preserve"> Ali Behairy</w:t>
      </w:r>
      <w:r w:rsidR="009C600A">
        <w:rPr>
          <w:rFonts w:asciiTheme="majorBidi" w:hAnsiTheme="majorBidi" w:cstheme="majorBidi"/>
          <w:i/>
          <w:iCs/>
          <w:sz w:val="24"/>
          <w:szCs w:val="24"/>
          <w:vertAlign w:val="superscript"/>
          <w:lang w:bidi="ar-EG"/>
        </w:rPr>
        <w:t>1</w:t>
      </w:r>
      <w:r w:rsidRPr="009C600A">
        <w:rPr>
          <w:rFonts w:asciiTheme="majorBidi" w:hAnsiTheme="majorBidi" w:cstheme="majorBidi"/>
          <w:i/>
          <w:iCs/>
          <w:sz w:val="24"/>
          <w:szCs w:val="24"/>
          <w:lang w:bidi="ar-EG"/>
        </w:rPr>
        <w:t xml:space="preserve">, </w:t>
      </w:r>
      <w:proofErr w:type="spellStart"/>
      <w:r w:rsidRPr="009C600A">
        <w:rPr>
          <w:rFonts w:asciiTheme="majorBidi" w:hAnsiTheme="majorBidi" w:cstheme="majorBidi"/>
          <w:i/>
          <w:iCs/>
          <w:sz w:val="24"/>
          <w:szCs w:val="24"/>
          <w:lang w:bidi="ar-EG"/>
        </w:rPr>
        <w:t>Nashwa</w:t>
      </w:r>
      <w:proofErr w:type="spellEnd"/>
      <w:r w:rsidRPr="009C600A">
        <w:rPr>
          <w:rFonts w:asciiTheme="majorBidi" w:hAnsiTheme="majorBidi" w:cstheme="majorBidi"/>
          <w:i/>
          <w:iCs/>
          <w:sz w:val="24"/>
          <w:szCs w:val="24"/>
          <w:lang w:bidi="ar-EG"/>
        </w:rPr>
        <w:t xml:space="preserve"> Farouk Mohamed</w:t>
      </w:r>
      <w:r w:rsidR="009C600A">
        <w:rPr>
          <w:rFonts w:asciiTheme="majorBidi" w:hAnsiTheme="majorBidi" w:cstheme="majorBidi"/>
          <w:i/>
          <w:iCs/>
          <w:sz w:val="24"/>
          <w:szCs w:val="24"/>
          <w:vertAlign w:val="superscript"/>
          <w:lang w:bidi="ar-EG"/>
        </w:rPr>
        <w:t>1</w:t>
      </w:r>
      <w:r w:rsidRPr="009C600A">
        <w:rPr>
          <w:rFonts w:asciiTheme="majorBidi" w:hAnsiTheme="majorBidi" w:cstheme="majorBidi"/>
          <w:i/>
          <w:iCs/>
          <w:sz w:val="24"/>
          <w:szCs w:val="24"/>
          <w:lang w:bidi="ar-EG"/>
        </w:rPr>
        <w:t>, Yasmin Mohammed Marei</w:t>
      </w:r>
      <w:r w:rsidR="009C600A">
        <w:rPr>
          <w:rFonts w:asciiTheme="majorBidi" w:hAnsiTheme="majorBidi" w:cstheme="majorBidi"/>
          <w:i/>
          <w:iCs/>
          <w:sz w:val="24"/>
          <w:szCs w:val="24"/>
          <w:vertAlign w:val="superscript"/>
          <w:lang w:bidi="ar-EG"/>
        </w:rPr>
        <w:t>2</w:t>
      </w:r>
      <w:r w:rsidRPr="009C600A">
        <w:rPr>
          <w:rFonts w:asciiTheme="majorBidi" w:hAnsiTheme="majorBidi" w:cstheme="majorBidi"/>
          <w:i/>
          <w:iCs/>
          <w:sz w:val="24"/>
          <w:szCs w:val="24"/>
          <w:lang w:bidi="ar-EG"/>
        </w:rPr>
        <w:t xml:space="preserve">, Ahmed </w:t>
      </w:r>
      <w:proofErr w:type="spellStart"/>
      <w:r w:rsidRPr="009C600A">
        <w:rPr>
          <w:rFonts w:asciiTheme="majorBidi" w:hAnsiTheme="majorBidi" w:cstheme="majorBidi"/>
          <w:i/>
          <w:iCs/>
          <w:sz w:val="24"/>
          <w:szCs w:val="24"/>
          <w:lang w:bidi="ar-EG"/>
        </w:rPr>
        <w:t>Fathy</w:t>
      </w:r>
      <w:proofErr w:type="spellEnd"/>
      <w:r w:rsidRPr="009C600A">
        <w:rPr>
          <w:rFonts w:asciiTheme="majorBidi" w:hAnsiTheme="majorBidi" w:cstheme="majorBidi"/>
          <w:i/>
          <w:iCs/>
          <w:sz w:val="24"/>
          <w:szCs w:val="24"/>
          <w:lang w:bidi="ar-EG"/>
        </w:rPr>
        <w:t xml:space="preserve"> </w:t>
      </w:r>
      <w:proofErr w:type="spellStart"/>
      <w:r w:rsidRPr="009C600A">
        <w:rPr>
          <w:rFonts w:asciiTheme="majorBidi" w:hAnsiTheme="majorBidi" w:cstheme="majorBidi"/>
          <w:i/>
          <w:iCs/>
          <w:sz w:val="24"/>
          <w:szCs w:val="24"/>
          <w:lang w:bidi="ar-EG"/>
        </w:rPr>
        <w:t>Abd</w:t>
      </w:r>
      <w:proofErr w:type="spellEnd"/>
      <w:r w:rsidRPr="009C600A">
        <w:rPr>
          <w:rFonts w:asciiTheme="majorBidi" w:hAnsiTheme="majorBidi" w:cstheme="majorBidi"/>
          <w:i/>
          <w:iCs/>
          <w:sz w:val="24"/>
          <w:szCs w:val="24"/>
          <w:lang w:bidi="ar-EG"/>
        </w:rPr>
        <w:t xml:space="preserve"> El-</w:t>
      </w:r>
      <w:proofErr w:type="spellStart"/>
      <w:r w:rsidRPr="009C600A">
        <w:rPr>
          <w:rFonts w:asciiTheme="majorBidi" w:hAnsiTheme="majorBidi" w:cstheme="majorBidi"/>
          <w:i/>
          <w:iCs/>
          <w:sz w:val="24"/>
          <w:szCs w:val="24"/>
          <w:lang w:bidi="ar-EG"/>
        </w:rPr>
        <w:t>Ghafar</w:t>
      </w:r>
      <w:proofErr w:type="spellEnd"/>
      <w:r w:rsidRPr="009C600A">
        <w:rPr>
          <w:rFonts w:asciiTheme="majorBidi" w:hAnsiTheme="majorBidi" w:cstheme="majorBidi"/>
          <w:i/>
          <w:iCs/>
          <w:sz w:val="24"/>
          <w:szCs w:val="24"/>
          <w:lang w:bidi="ar-EG"/>
        </w:rPr>
        <w:t xml:space="preserve"> Mohamed</w:t>
      </w:r>
      <w:r w:rsidR="009C600A">
        <w:rPr>
          <w:rFonts w:asciiTheme="majorBidi" w:hAnsiTheme="majorBidi" w:cstheme="majorBidi"/>
          <w:sz w:val="24"/>
          <w:szCs w:val="24"/>
          <w:vertAlign w:val="superscript"/>
          <w:lang w:bidi="ar-EG"/>
        </w:rPr>
        <w:t>1</w:t>
      </w:r>
      <w:r w:rsidRPr="009C600A">
        <w:rPr>
          <w:rFonts w:asciiTheme="majorBidi" w:hAnsiTheme="majorBidi" w:cstheme="majorBidi"/>
          <w:sz w:val="24"/>
          <w:szCs w:val="24"/>
          <w:lang w:bidi="ar-EG"/>
        </w:rPr>
        <w:t xml:space="preserve"> </w:t>
      </w:r>
    </w:p>
    <w:p w:rsidR="00B1113F" w:rsidRPr="00D7740F" w:rsidRDefault="009C600A" w:rsidP="00D7740F">
      <w:pPr>
        <w:bidi w:val="0"/>
        <w:spacing w:after="120" w:line="240" w:lineRule="auto"/>
        <w:jc w:val="center"/>
        <w:rPr>
          <w:rFonts w:asciiTheme="majorBidi" w:hAnsiTheme="majorBidi" w:cstheme="majorBidi"/>
          <w:sz w:val="24"/>
          <w:szCs w:val="24"/>
          <w:lang w:bidi="ar-EG"/>
        </w:rPr>
      </w:pPr>
      <w:r w:rsidRPr="00D7740F">
        <w:rPr>
          <w:rFonts w:asciiTheme="majorBidi" w:hAnsiTheme="majorBidi" w:cstheme="majorBidi"/>
          <w:sz w:val="24"/>
          <w:szCs w:val="24"/>
          <w:vertAlign w:val="superscript"/>
          <w:lang w:bidi="ar-EG"/>
        </w:rPr>
        <w:t xml:space="preserve">1 </w:t>
      </w:r>
      <w:r w:rsidR="00B1113F" w:rsidRPr="00D7740F">
        <w:rPr>
          <w:rFonts w:asciiTheme="majorBidi" w:hAnsiTheme="majorBidi" w:cstheme="majorBidi"/>
          <w:i/>
          <w:iCs/>
          <w:sz w:val="24"/>
          <w:szCs w:val="24"/>
          <w:lang w:bidi="ar-EG"/>
        </w:rPr>
        <w:t>Pediatrics</w:t>
      </w:r>
      <w:r w:rsidRPr="00D7740F">
        <w:rPr>
          <w:rFonts w:asciiTheme="majorBidi" w:hAnsiTheme="majorBidi" w:cstheme="majorBidi"/>
          <w:i/>
          <w:iCs/>
          <w:sz w:val="24"/>
          <w:szCs w:val="24"/>
          <w:lang w:bidi="ar-EG"/>
        </w:rPr>
        <w:t xml:space="preserve">, </w:t>
      </w:r>
      <w:r w:rsidR="00B1113F" w:rsidRPr="00D7740F">
        <w:rPr>
          <w:rFonts w:asciiTheme="majorBidi" w:hAnsiTheme="majorBidi" w:cstheme="majorBidi"/>
          <w:i/>
          <w:iCs/>
          <w:sz w:val="24"/>
          <w:szCs w:val="24"/>
          <w:lang w:bidi="ar-EG"/>
        </w:rPr>
        <w:t xml:space="preserve">Faculty of Medicine, </w:t>
      </w:r>
      <w:proofErr w:type="spellStart"/>
      <w:r w:rsidR="00B1113F" w:rsidRPr="00D7740F">
        <w:rPr>
          <w:rFonts w:asciiTheme="majorBidi" w:hAnsiTheme="majorBidi" w:cstheme="majorBidi"/>
          <w:i/>
          <w:iCs/>
          <w:sz w:val="24"/>
          <w:szCs w:val="24"/>
          <w:lang w:bidi="ar-EG"/>
        </w:rPr>
        <w:t>Benha</w:t>
      </w:r>
      <w:proofErr w:type="spellEnd"/>
      <w:r w:rsidR="00B1113F" w:rsidRPr="00D7740F">
        <w:rPr>
          <w:rFonts w:asciiTheme="majorBidi" w:hAnsiTheme="majorBidi" w:cstheme="majorBidi"/>
          <w:i/>
          <w:iCs/>
          <w:sz w:val="24"/>
          <w:szCs w:val="24"/>
          <w:lang w:bidi="ar-EG"/>
        </w:rPr>
        <w:t xml:space="preserve"> University</w:t>
      </w:r>
    </w:p>
    <w:p w:rsidR="00B1113F" w:rsidRPr="00D7740F" w:rsidRDefault="009C600A" w:rsidP="00D7740F">
      <w:pPr>
        <w:bidi w:val="0"/>
        <w:spacing w:after="120" w:line="240" w:lineRule="auto"/>
        <w:jc w:val="center"/>
        <w:rPr>
          <w:rFonts w:asciiTheme="majorBidi" w:hAnsiTheme="majorBidi" w:cstheme="majorBidi"/>
          <w:i/>
          <w:iCs/>
          <w:sz w:val="24"/>
          <w:szCs w:val="24"/>
          <w:lang w:bidi="ar-EG"/>
        </w:rPr>
      </w:pPr>
      <w:r w:rsidRPr="00D7740F">
        <w:rPr>
          <w:rFonts w:asciiTheme="majorBidi" w:hAnsiTheme="majorBidi" w:cstheme="majorBidi"/>
          <w:sz w:val="24"/>
          <w:szCs w:val="24"/>
          <w:vertAlign w:val="superscript"/>
          <w:lang w:bidi="ar-EG"/>
        </w:rPr>
        <w:t xml:space="preserve">2 </w:t>
      </w:r>
      <w:r w:rsidR="00B1113F" w:rsidRPr="00D7740F">
        <w:rPr>
          <w:rFonts w:asciiTheme="majorBidi" w:hAnsiTheme="majorBidi" w:cstheme="majorBidi" w:hint="eastAsia"/>
          <w:i/>
          <w:iCs/>
          <w:sz w:val="24"/>
          <w:szCs w:val="24"/>
          <w:lang w:bidi="ar-EG"/>
        </w:rPr>
        <w:t>Medical Biochemistry and Molecular Biology</w:t>
      </w:r>
      <w:r w:rsidRPr="00D7740F">
        <w:rPr>
          <w:rFonts w:asciiTheme="majorBidi" w:hAnsiTheme="majorBidi" w:cstheme="majorBidi"/>
          <w:i/>
          <w:iCs/>
          <w:sz w:val="24"/>
          <w:szCs w:val="24"/>
          <w:lang w:bidi="ar-EG"/>
        </w:rPr>
        <w:t xml:space="preserve">, </w:t>
      </w:r>
      <w:r w:rsidR="00B1113F" w:rsidRPr="00D7740F">
        <w:rPr>
          <w:rFonts w:asciiTheme="majorBidi" w:hAnsiTheme="majorBidi" w:cstheme="majorBidi" w:hint="eastAsia"/>
          <w:i/>
          <w:iCs/>
          <w:sz w:val="24"/>
          <w:szCs w:val="24"/>
          <w:lang w:bidi="ar-EG"/>
        </w:rPr>
        <w:t xml:space="preserve">Faculty of Medicine, </w:t>
      </w:r>
      <w:proofErr w:type="spellStart"/>
      <w:r w:rsidR="00B1113F" w:rsidRPr="00D7740F">
        <w:rPr>
          <w:rFonts w:asciiTheme="majorBidi" w:hAnsiTheme="majorBidi" w:cstheme="majorBidi" w:hint="eastAsia"/>
          <w:i/>
          <w:iCs/>
          <w:sz w:val="24"/>
          <w:szCs w:val="24"/>
          <w:lang w:bidi="ar-EG"/>
        </w:rPr>
        <w:t>Benha</w:t>
      </w:r>
      <w:proofErr w:type="spellEnd"/>
      <w:r w:rsidR="00B1113F" w:rsidRPr="00D7740F">
        <w:rPr>
          <w:rFonts w:asciiTheme="majorBidi" w:hAnsiTheme="majorBidi" w:cstheme="majorBidi" w:hint="eastAsia"/>
          <w:i/>
          <w:iCs/>
          <w:sz w:val="24"/>
          <w:szCs w:val="24"/>
          <w:lang w:bidi="ar-EG"/>
        </w:rPr>
        <w:t xml:space="preserve"> University</w:t>
      </w:r>
    </w:p>
    <w:p w:rsidR="0061535D" w:rsidRPr="001E1EFF" w:rsidRDefault="00D7740F" w:rsidP="00D7740F">
      <w:pPr>
        <w:bidi w:val="0"/>
        <w:spacing w:after="120" w:line="240" w:lineRule="auto"/>
        <w:rPr>
          <w:rFonts w:asciiTheme="majorBidi" w:hAnsiTheme="majorBidi" w:cstheme="majorBidi"/>
          <w:b/>
          <w:bCs/>
          <w:sz w:val="24"/>
          <w:szCs w:val="24"/>
          <w:u w:val="single"/>
          <w:lang w:bidi="ar-EG"/>
        </w:rPr>
      </w:pPr>
      <w:r w:rsidRPr="001E1EFF">
        <w:rPr>
          <w:rFonts w:asciiTheme="majorBidi" w:hAnsiTheme="majorBidi" w:cstheme="majorBidi"/>
          <w:b/>
          <w:bCs/>
          <w:sz w:val="24"/>
          <w:szCs w:val="24"/>
          <w:u w:val="single"/>
          <w:lang w:bidi="ar-EG"/>
        </w:rPr>
        <w:t xml:space="preserve">Abstract </w:t>
      </w:r>
    </w:p>
    <w:p w:rsidR="00695F04" w:rsidRDefault="00695F04" w:rsidP="00770358">
      <w:pPr>
        <w:bidi w:val="0"/>
        <w:spacing w:after="120" w:line="240" w:lineRule="auto"/>
        <w:jc w:val="lowKashida"/>
        <w:rPr>
          <w:rFonts w:asciiTheme="majorBidi" w:hAnsiTheme="majorBidi" w:cstheme="majorBidi"/>
          <w:sz w:val="24"/>
          <w:szCs w:val="24"/>
          <w:lang w:bidi="ar-EG"/>
        </w:rPr>
      </w:pPr>
      <w:r w:rsidRPr="00695F04">
        <w:rPr>
          <w:rFonts w:asciiTheme="majorBidi" w:hAnsiTheme="majorBidi" w:cstheme="majorBidi"/>
          <w:b/>
          <w:bCs/>
          <w:sz w:val="24"/>
          <w:szCs w:val="24"/>
          <w:lang w:bidi="ar-EG"/>
        </w:rPr>
        <w:t>Background:</w:t>
      </w:r>
      <w:r>
        <w:rPr>
          <w:rFonts w:asciiTheme="majorBidi" w:hAnsiTheme="majorBidi" w:cstheme="majorBidi"/>
          <w:sz w:val="24"/>
          <w:szCs w:val="24"/>
          <w:lang w:bidi="ar-EG"/>
        </w:rPr>
        <w:t xml:space="preserve"> </w:t>
      </w:r>
      <w:r w:rsidR="008C5DEA" w:rsidRPr="008C5DEA">
        <w:rPr>
          <w:rFonts w:asciiTheme="majorBidi" w:hAnsiTheme="majorBidi" w:cstheme="majorBidi"/>
          <w:i/>
          <w:iCs/>
          <w:sz w:val="24"/>
          <w:szCs w:val="24"/>
          <w:lang w:bidi="ar-EG"/>
        </w:rPr>
        <w:t>Helicobacter pylori</w:t>
      </w:r>
      <w:r w:rsidR="008C5DEA" w:rsidRPr="008C5DEA">
        <w:rPr>
          <w:rFonts w:asciiTheme="majorBidi" w:hAnsiTheme="majorBidi" w:cstheme="majorBidi"/>
          <w:sz w:val="24"/>
          <w:szCs w:val="24"/>
          <w:lang w:bidi="ar-EG"/>
        </w:rPr>
        <w:t> (</w:t>
      </w:r>
      <w:r w:rsidR="008C5DEA" w:rsidRPr="008C5DEA">
        <w:rPr>
          <w:rFonts w:asciiTheme="majorBidi" w:hAnsiTheme="majorBidi" w:cstheme="majorBidi"/>
          <w:i/>
          <w:iCs/>
          <w:sz w:val="24"/>
          <w:szCs w:val="24"/>
          <w:lang w:bidi="ar-EG"/>
        </w:rPr>
        <w:t>H. pylori</w:t>
      </w:r>
      <w:r w:rsidR="008C5DEA" w:rsidRPr="008C5DEA">
        <w:rPr>
          <w:rFonts w:asciiTheme="majorBidi" w:hAnsiTheme="majorBidi" w:cstheme="majorBidi"/>
          <w:sz w:val="24"/>
          <w:szCs w:val="24"/>
          <w:lang w:bidi="ar-EG"/>
        </w:rPr>
        <w:t>) remains the most frequently encountered etiological factor of pediatric gastritis and can persist until adulthood, being responsible for chronic inflammation of the gastric mucosa, as well as for digestive and extra-digestive complications</w:t>
      </w:r>
      <w:r w:rsidR="008C5DEA" w:rsidRPr="008C5DEA">
        <w:rPr>
          <w:rFonts w:asciiTheme="majorBidi" w:hAnsiTheme="majorBidi" w:cstheme="majorBidi"/>
          <w:b/>
          <w:bCs/>
          <w:sz w:val="24"/>
          <w:szCs w:val="24"/>
          <w:lang w:bidi="ar-EG"/>
        </w:rPr>
        <w:t>.</w:t>
      </w:r>
      <w:r w:rsidR="008C5DEA">
        <w:rPr>
          <w:rFonts w:asciiTheme="majorBidi" w:hAnsiTheme="majorBidi" w:cstheme="majorBidi"/>
          <w:sz w:val="24"/>
          <w:szCs w:val="24"/>
          <w:lang w:bidi="ar-EG"/>
        </w:rPr>
        <w:t xml:space="preserve"> </w:t>
      </w:r>
      <w:r w:rsidR="008C5DEA" w:rsidRPr="00695F04">
        <w:rPr>
          <w:rFonts w:asciiTheme="majorBidi" w:hAnsiTheme="majorBidi" w:cstheme="majorBidi"/>
          <w:b/>
          <w:bCs/>
          <w:sz w:val="24"/>
          <w:szCs w:val="24"/>
          <w:lang w:bidi="ar-EG"/>
        </w:rPr>
        <w:t>This study aimed to</w:t>
      </w:r>
      <w:r w:rsidR="008C5DEA" w:rsidRPr="008C5DEA">
        <w:rPr>
          <w:rFonts w:asciiTheme="majorBidi" w:hAnsiTheme="majorBidi" w:cstheme="majorBidi"/>
          <w:sz w:val="24"/>
          <w:szCs w:val="24"/>
          <w:lang w:bidi="ar-EG"/>
        </w:rPr>
        <w:t xml:space="preserve"> assess the differential expression of mRNA-204</w:t>
      </w:r>
      <w:r>
        <w:rPr>
          <w:rFonts w:asciiTheme="majorBidi" w:hAnsiTheme="majorBidi" w:cstheme="majorBidi"/>
          <w:sz w:val="24"/>
          <w:szCs w:val="24"/>
          <w:lang w:bidi="ar-EG"/>
        </w:rPr>
        <w:t xml:space="preserve"> and </w:t>
      </w:r>
      <w:r w:rsidRPr="00695F04">
        <w:rPr>
          <w:rFonts w:asciiTheme="majorBidi" w:hAnsiTheme="majorBidi" w:cstheme="majorBidi"/>
          <w:sz w:val="24"/>
          <w:szCs w:val="24"/>
          <w:lang w:bidi="ar-EG"/>
        </w:rPr>
        <w:t>mR</w:t>
      </w:r>
      <w:r>
        <w:rPr>
          <w:rFonts w:asciiTheme="majorBidi" w:hAnsiTheme="majorBidi" w:cstheme="majorBidi"/>
          <w:sz w:val="24"/>
          <w:szCs w:val="24"/>
          <w:lang w:bidi="ar-EG"/>
        </w:rPr>
        <w:t xml:space="preserve">NA-155 </w:t>
      </w:r>
      <w:r w:rsidR="008C5DEA" w:rsidRPr="008C5DEA">
        <w:rPr>
          <w:rFonts w:asciiTheme="majorBidi" w:hAnsiTheme="majorBidi" w:cstheme="majorBidi"/>
          <w:sz w:val="24"/>
          <w:szCs w:val="24"/>
          <w:lang w:bidi="ar-EG"/>
        </w:rPr>
        <w:t>in relation to gastritis, and assess their relation with the presence of H. pylori in children.</w:t>
      </w:r>
      <w:r>
        <w:rPr>
          <w:rFonts w:asciiTheme="majorBidi" w:hAnsiTheme="majorBidi" w:cstheme="majorBidi"/>
          <w:sz w:val="24"/>
          <w:szCs w:val="24"/>
          <w:lang w:bidi="ar-EG"/>
        </w:rPr>
        <w:t xml:space="preserve"> </w:t>
      </w:r>
      <w:r w:rsidRPr="00695F04">
        <w:rPr>
          <w:rFonts w:asciiTheme="majorBidi" w:hAnsiTheme="majorBidi" w:cstheme="majorBidi"/>
          <w:b/>
          <w:bCs/>
          <w:sz w:val="24"/>
          <w:szCs w:val="24"/>
          <w:lang w:bidi="ar-EG"/>
        </w:rPr>
        <w:t>Methods;</w:t>
      </w:r>
      <w:r>
        <w:rPr>
          <w:rFonts w:asciiTheme="majorBidi" w:hAnsiTheme="majorBidi" w:cstheme="majorBidi"/>
          <w:sz w:val="24"/>
          <w:szCs w:val="24"/>
          <w:lang w:bidi="ar-EG"/>
        </w:rPr>
        <w:t xml:space="preserve"> </w:t>
      </w:r>
      <w:r w:rsidR="008C5DEA" w:rsidRPr="008C5DEA">
        <w:rPr>
          <w:rFonts w:asciiTheme="majorBidi" w:hAnsiTheme="majorBidi" w:cstheme="majorBidi"/>
          <w:sz w:val="24"/>
          <w:szCs w:val="24"/>
          <w:lang w:bidi="ar-EG"/>
        </w:rPr>
        <w:t>This</w:t>
      </w:r>
      <w:r>
        <w:rPr>
          <w:rFonts w:asciiTheme="majorBidi" w:hAnsiTheme="majorBidi" w:cstheme="majorBidi"/>
          <w:sz w:val="24"/>
          <w:szCs w:val="24"/>
          <w:lang w:bidi="ar-EG"/>
        </w:rPr>
        <w:t xml:space="preserve"> cross-sectional</w:t>
      </w:r>
      <w:r w:rsidR="008C5DEA" w:rsidRPr="008C5DEA">
        <w:rPr>
          <w:rFonts w:asciiTheme="majorBidi" w:hAnsiTheme="majorBidi" w:cstheme="majorBidi"/>
          <w:sz w:val="24"/>
          <w:szCs w:val="24"/>
          <w:lang w:bidi="ar-EG"/>
        </w:rPr>
        <w:t xml:space="preserve"> study included 80 children with gastritis divided into two subgroups; H. pylori positive group (61.2%) and </w:t>
      </w:r>
      <w:proofErr w:type="spellStart"/>
      <w:proofErr w:type="gramStart"/>
      <w:r w:rsidR="008C5DEA" w:rsidRPr="008C5DEA">
        <w:rPr>
          <w:rFonts w:asciiTheme="majorBidi" w:hAnsiTheme="majorBidi" w:cstheme="majorBidi"/>
          <w:sz w:val="24"/>
          <w:szCs w:val="24"/>
          <w:lang w:bidi="ar-EG"/>
        </w:rPr>
        <w:t>H..pylori</w:t>
      </w:r>
      <w:proofErr w:type="spellEnd"/>
      <w:proofErr w:type="gramEnd"/>
      <w:r w:rsidR="008C5DEA" w:rsidRPr="008C5DEA">
        <w:rPr>
          <w:rFonts w:asciiTheme="majorBidi" w:hAnsiTheme="majorBidi" w:cstheme="majorBidi"/>
          <w:sz w:val="24"/>
          <w:szCs w:val="24"/>
          <w:lang w:bidi="ar-EG"/>
        </w:rPr>
        <w:t xml:space="preserve"> negative group (38.8%) children). And 80 healthy children as a control group. All included children were subjected to full history taking, complete clinical examination and laboratory assessment if mRNA 155 and mRNA 204. Endoscopic examination and histopathological assessment of stomach biopsy were done to all patients</w:t>
      </w:r>
      <w:r>
        <w:rPr>
          <w:rFonts w:asciiTheme="majorBidi" w:hAnsiTheme="majorBidi" w:cstheme="majorBidi"/>
          <w:sz w:val="24"/>
          <w:szCs w:val="24"/>
          <w:lang w:bidi="ar-EG"/>
        </w:rPr>
        <w:t xml:space="preserve">. </w:t>
      </w:r>
      <w:r w:rsidRPr="00695F04">
        <w:rPr>
          <w:rFonts w:asciiTheme="majorBidi" w:hAnsiTheme="majorBidi" w:cstheme="majorBidi"/>
          <w:b/>
          <w:bCs/>
          <w:sz w:val="24"/>
          <w:szCs w:val="24"/>
          <w:lang w:bidi="ar-EG"/>
        </w:rPr>
        <w:t>Results:</w:t>
      </w:r>
      <w:r>
        <w:rPr>
          <w:rFonts w:asciiTheme="majorBidi" w:hAnsiTheme="majorBidi" w:cstheme="majorBidi"/>
          <w:sz w:val="24"/>
          <w:szCs w:val="24"/>
          <w:lang w:bidi="ar-EG"/>
        </w:rPr>
        <w:t xml:space="preserve"> </w:t>
      </w:r>
      <w:r w:rsidR="008C5DEA" w:rsidRPr="008C5DEA">
        <w:rPr>
          <w:rFonts w:asciiTheme="majorBidi" w:hAnsiTheme="majorBidi" w:cstheme="majorBidi"/>
          <w:sz w:val="24"/>
          <w:szCs w:val="24"/>
          <w:lang w:bidi="ar-EG"/>
        </w:rPr>
        <w:t>Children with H pylori positive had statistically lower mRNA 204</w:t>
      </w:r>
      <w:r>
        <w:rPr>
          <w:rFonts w:asciiTheme="majorBidi" w:hAnsiTheme="majorBidi" w:cstheme="majorBidi"/>
          <w:sz w:val="24"/>
          <w:szCs w:val="24"/>
          <w:lang w:bidi="ar-EG"/>
        </w:rPr>
        <w:t xml:space="preserve"> and statistically higher</w:t>
      </w:r>
      <w:r w:rsidR="008C5DEA" w:rsidRPr="008C5DEA">
        <w:rPr>
          <w:rFonts w:asciiTheme="majorBidi" w:hAnsiTheme="majorBidi" w:cstheme="majorBidi"/>
          <w:sz w:val="24"/>
          <w:szCs w:val="24"/>
          <w:lang w:bidi="ar-EG"/>
        </w:rPr>
        <w:t xml:space="preserve"> mRNA 155 compared to children with H pylori negative and controls. </w:t>
      </w:r>
      <w:r>
        <w:rPr>
          <w:rFonts w:asciiTheme="majorBidi" w:hAnsiTheme="majorBidi" w:cstheme="majorBidi"/>
          <w:sz w:val="24"/>
          <w:szCs w:val="24"/>
          <w:lang w:bidi="ar-EG"/>
        </w:rPr>
        <w:t xml:space="preserve"> </w:t>
      </w:r>
      <w:proofErr w:type="gramStart"/>
      <w:r w:rsidR="008C5DEA" w:rsidRPr="008C5DEA">
        <w:rPr>
          <w:rFonts w:asciiTheme="majorBidi" w:hAnsiTheme="majorBidi" w:cstheme="majorBidi"/>
          <w:sz w:val="24"/>
          <w:szCs w:val="24"/>
          <w:lang w:bidi="ar-EG"/>
        </w:rPr>
        <w:t>mRNA-204</w:t>
      </w:r>
      <w:proofErr w:type="gramEnd"/>
      <w:r w:rsidR="008C5DEA" w:rsidRPr="008C5DEA">
        <w:rPr>
          <w:rFonts w:asciiTheme="majorBidi" w:hAnsiTheme="majorBidi" w:cstheme="majorBidi"/>
          <w:sz w:val="24"/>
          <w:szCs w:val="24"/>
          <w:lang w:bidi="ar-EG"/>
        </w:rPr>
        <w:t xml:space="preserve"> decreased significantly with increasing the grade of gastritis, and with grades of H pylori infection. </w:t>
      </w:r>
      <w:proofErr w:type="gramStart"/>
      <w:r w:rsidR="008C5DEA" w:rsidRPr="008C5DEA">
        <w:rPr>
          <w:rFonts w:asciiTheme="majorBidi" w:hAnsiTheme="majorBidi" w:cstheme="majorBidi"/>
          <w:sz w:val="24"/>
          <w:szCs w:val="24"/>
          <w:lang w:bidi="ar-EG"/>
        </w:rPr>
        <w:t>mRNA-155</w:t>
      </w:r>
      <w:proofErr w:type="gramEnd"/>
      <w:r w:rsidR="008C5DEA" w:rsidRPr="008C5DEA">
        <w:rPr>
          <w:rFonts w:asciiTheme="majorBidi" w:hAnsiTheme="majorBidi" w:cstheme="majorBidi"/>
          <w:sz w:val="24"/>
          <w:szCs w:val="24"/>
          <w:lang w:bidi="ar-EG"/>
        </w:rPr>
        <w:t xml:space="preserve"> increased significantly with increasing the grade of gastritis, and with grade of H pylori infection. In multivariate regression model, H pylori in stool, mRNA 204 and mRNA 155 were independent predictors of H pylori infection in children.</w:t>
      </w:r>
      <w:r>
        <w:rPr>
          <w:rFonts w:asciiTheme="majorBidi" w:hAnsiTheme="majorBidi" w:cstheme="majorBidi"/>
          <w:sz w:val="24"/>
          <w:szCs w:val="24"/>
          <w:lang w:bidi="ar-EG"/>
        </w:rPr>
        <w:t xml:space="preserve"> </w:t>
      </w:r>
      <w:r w:rsidR="008C5DEA" w:rsidRPr="008C5DEA">
        <w:rPr>
          <w:rFonts w:asciiTheme="majorBidi" w:hAnsiTheme="majorBidi" w:cstheme="majorBidi"/>
          <w:b/>
          <w:bCs/>
          <w:sz w:val="24"/>
          <w:szCs w:val="24"/>
          <w:lang w:bidi="ar-EG"/>
        </w:rPr>
        <w:t>Conclusion</w:t>
      </w:r>
      <w:r>
        <w:rPr>
          <w:rFonts w:asciiTheme="majorBidi" w:hAnsiTheme="majorBidi" w:cstheme="majorBidi"/>
          <w:b/>
          <w:bCs/>
          <w:sz w:val="24"/>
          <w:szCs w:val="24"/>
          <w:lang w:bidi="ar-EG"/>
        </w:rPr>
        <w:t xml:space="preserve">: </w:t>
      </w:r>
      <w:r w:rsidRPr="00695F04">
        <w:rPr>
          <w:rFonts w:asciiTheme="majorBidi" w:hAnsiTheme="majorBidi" w:cstheme="majorBidi"/>
          <w:sz w:val="24"/>
          <w:szCs w:val="24"/>
          <w:lang w:bidi="ar-EG"/>
        </w:rPr>
        <w:t xml:space="preserve">mRNA-204 and mRNA-155 </w:t>
      </w:r>
      <w:r>
        <w:rPr>
          <w:rFonts w:asciiTheme="majorBidi" w:hAnsiTheme="majorBidi" w:cstheme="majorBidi"/>
          <w:sz w:val="24"/>
          <w:szCs w:val="24"/>
          <w:lang w:bidi="ar-EG"/>
        </w:rPr>
        <w:t>can be used as predictors of risk of H pylori infection in children</w:t>
      </w:r>
      <w:r>
        <w:rPr>
          <w:rFonts w:asciiTheme="majorBidi" w:hAnsiTheme="majorBidi" w:cstheme="majorBidi"/>
          <w:sz w:val="24"/>
          <w:szCs w:val="24"/>
          <w:lang w:bidi="ar-EG"/>
        </w:rPr>
        <w:t xml:space="preserve">. </w:t>
      </w:r>
      <w:r>
        <w:rPr>
          <w:rFonts w:asciiTheme="majorBidi" w:hAnsiTheme="majorBidi" w:cstheme="majorBidi"/>
          <w:sz w:val="24"/>
          <w:szCs w:val="24"/>
          <w:lang w:bidi="ar-EG"/>
        </w:rPr>
        <w:t>Furth</w:t>
      </w:r>
      <w:r w:rsidR="00770358">
        <w:rPr>
          <w:rFonts w:asciiTheme="majorBidi" w:hAnsiTheme="majorBidi" w:cstheme="majorBidi"/>
          <w:sz w:val="24"/>
          <w:szCs w:val="24"/>
          <w:lang w:bidi="ar-EG"/>
        </w:rPr>
        <w:t xml:space="preserve">er larger studies are needed </w:t>
      </w:r>
      <w:r>
        <w:rPr>
          <w:rFonts w:asciiTheme="majorBidi" w:hAnsiTheme="majorBidi" w:cstheme="majorBidi"/>
          <w:sz w:val="24"/>
          <w:szCs w:val="24"/>
          <w:lang w:bidi="ar-EG"/>
        </w:rPr>
        <w:t>towards establishing the new preventive measures.</w:t>
      </w:r>
    </w:p>
    <w:p w:rsidR="00D7740F" w:rsidRPr="00D7740F" w:rsidRDefault="00D7740F" w:rsidP="00D7740F">
      <w:pPr>
        <w:bidi w:val="0"/>
        <w:spacing w:after="12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Keywords:</w:t>
      </w:r>
      <w:r w:rsidRPr="00D7740F">
        <w:t xml:space="preserve"> </w:t>
      </w:r>
      <w:r w:rsidRPr="00D7740F">
        <w:rPr>
          <w:rFonts w:asciiTheme="majorBidi" w:hAnsiTheme="majorBidi" w:cstheme="majorBidi"/>
          <w:sz w:val="24"/>
          <w:szCs w:val="24"/>
          <w:lang w:bidi="ar-EG"/>
        </w:rPr>
        <w:t>miRNA-155; miRNA-204; Pediatric; Gastritis; H. pylori</w:t>
      </w:r>
    </w:p>
    <w:p w:rsidR="00D7740F" w:rsidRPr="00D7740F" w:rsidRDefault="00D7740F" w:rsidP="00D7740F">
      <w:pPr>
        <w:bidi w:val="0"/>
        <w:spacing w:after="120" w:line="240" w:lineRule="auto"/>
        <w:rPr>
          <w:rFonts w:asciiTheme="majorBidi" w:hAnsiTheme="majorBidi" w:cstheme="majorBidi"/>
          <w:b/>
          <w:bCs/>
          <w:sz w:val="24"/>
          <w:szCs w:val="24"/>
          <w:u w:val="single"/>
          <w:lang w:bidi="ar-EG"/>
        </w:rPr>
      </w:pPr>
      <w:r w:rsidRPr="00D7740F">
        <w:rPr>
          <w:rFonts w:asciiTheme="majorBidi" w:hAnsiTheme="majorBidi" w:cstheme="majorBidi"/>
          <w:b/>
          <w:bCs/>
          <w:sz w:val="24"/>
          <w:szCs w:val="24"/>
          <w:u w:val="single"/>
          <w:lang w:bidi="ar-EG"/>
        </w:rPr>
        <w:t xml:space="preserve">Introduction </w:t>
      </w:r>
    </w:p>
    <w:p w:rsidR="008B4F27" w:rsidRPr="008B4F27" w:rsidRDefault="008B4F27" w:rsidP="003336A9">
      <w:pPr>
        <w:bidi w:val="0"/>
        <w:spacing w:after="120" w:line="240" w:lineRule="auto"/>
        <w:jc w:val="lowKashida"/>
        <w:rPr>
          <w:rFonts w:asciiTheme="majorBidi" w:hAnsiTheme="majorBidi" w:cstheme="majorBidi"/>
          <w:sz w:val="24"/>
          <w:szCs w:val="24"/>
          <w:lang w:bidi="ar-EG"/>
        </w:rPr>
      </w:pPr>
      <w:r w:rsidRPr="008B4F27">
        <w:rPr>
          <w:rFonts w:asciiTheme="majorBidi" w:hAnsiTheme="majorBidi" w:cstheme="majorBidi"/>
          <w:sz w:val="24"/>
          <w:szCs w:val="24"/>
          <w:lang w:bidi="ar-EG"/>
        </w:rPr>
        <w:t xml:space="preserve">Gastritis represents one of the major public health concerns in children, with particularities in terms of histology findings and comprising a large spectrum of dyspeptic symptoms </w:t>
      </w:r>
      <w:r w:rsidRPr="008B4F27">
        <w:rPr>
          <w:rFonts w:asciiTheme="majorBidi" w:hAnsiTheme="majorBidi" w:cstheme="majorBidi"/>
          <w:b/>
          <w:bCs/>
          <w:sz w:val="24"/>
          <w:szCs w:val="24"/>
          <w:lang w:bidi="ar-EG"/>
        </w:rPr>
        <w:fldChar w:fldCharType="begin" w:fldLock="1"/>
      </w:r>
      <w:r w:rsidR="00423138">
        <w:rPr>
          <w:rFonts w:asciiTheme="majorBidi" w:hAnsiTheme="majorBidi" w:cstheme="majorBidi"/>
          <w:b/>
          <w:bCs/>
          <w:sz w:val="24"/>
          <w:szCs w:val="24"/>
          <w:lang w:bidi="ar-EG"/>
        </w:rPr>
        <w:instrText>ADDIN CSL_CITATION {"citationItems":[{"id":"ITEM-1","itemData":{"ISSN":"2950-1946","author":[{"dropping-particle":"","family":"Das","given":"Sanjib","non-dropping-particle":"","parse-names":false,"suffix":""},{"dropping-particle":"","family":"Banerjee","given":"Soumalya","non-dropping-particle":"","parse-names":false,"suffix":""},{"dropping-particle":"","family":"Halder","given":"Prolay","non-dropping-particle":"","parse-names":false,"suffix":""},{"dropping-particle":"","family":"Dutta","given":"Shanta","non-dropping-particle":"","parse-names":false,"suffix":""},{"dropping-particle":"","family":"Mukhopadhyay","given":"Asish","non-dropping-particle":"","parse-names":false,"suffix":""},{"dropping-particle":"","family":"Koley","given":"Hemanta","non-dropping-particle":"","parse-names":false,"suffix":""}],"container-title":"The Microbe","id":"ITEM-1","issued":{"date-parts":[["2024"]]},"page":"100114","publisher":"Elsevier","title":"A review for the prevention and management of Helicobacter pylori induced gastritis through development of novel vaccine candidates","type":"article-journal","volume":"4"},"uris":["http://www.mendeley.com/documents/?uuid=84b0a5a7-ac78-4746-b38a-f449b786783d"]}],"mendeley":{"formattedCitation":"(1)","plainTextFormattedCitation":"(1)","previouslyFormattedCitation":"(1)"},"properties":{"noteIndex":0},"schema":"https://github.com/citation-style-language/schema/raw/master/csl-citation.json"}</w:instrText>
      </w:r>
      <w:r w:rsidRPr="008B4F27">
        <w:rPr>
          <w:rFonts w:asciiTheme="majorBidi" w:hAnsiTheme="majorBidi" w:cstheme="majorBidi"/>
          <w:b/>
          <w:bCs/>
          <w:sz w:val="24"/>
          <w:szCs w:val="24"/>
          <w:lang w:bidi="ar-EG"/>
        </w:rPr>
        <w:fldChar w:fldCharType="separate"/>
      </w:r>
      <w:r w:rsidR="003336A9" w:rsidRPr="003336A9">
        <w:rPr>
          <w:rFonts w:asciiTheme="majorBidi" w:hAnsiTheme="majorBidi" w:cstheme="majorBidi"/>
          <w:bCs/>
          <w:noProof/>
          <w:sz w:val="24"/>
          <w:szCs w:val="24"/>
          <w:lang w:bidi="ar-EG"/>
        </w:rPr>
        <w:t>(1)</w:t>
      </w:r>
      <w:r w:rsidRPr="008B4F27">
        <w:rPr>
          <w:rFonts w:asciiTheme="majorBidi" w:hAnsiTheme="majorBidi" w:cstheme="majorBidi"/>
          <w:sz w:val="24"/>
          <w:szCs w:val="24"/>
          <w:lang w:bidi="ar-EG"/>
        </w:rPr>
        <w:fldChar w:fldCharType="end"/>
      </w:r>
      <w:r w:rsidRPr="008B4F27">
        <w:rPr>
          <w:rFonts w:asciiTheme="majorBidi" w:hAnsiTheme="majorBidi" w:cstheme="majorBidi"/>
          <w:b/>
          <w:bCs/>
          <w:sz w:val="24"/>
          <w:szCs w:val="24"/>
          <w:lang w:bidi="ar-EG"/>
        </w:rPr>
        <w:t>.</w:t>
      </w:r>
    </w:p>
    <w:p w:rsidR="008B4F27" w:rsidRPr="008B4F27" w:rsidRDefault="008B4F27" w:rsidP="003336A9">
      <w:pPr>
        <w:bidi w:val="0"/>
        <w:spacing w:after="120" w:line="240" w:lineRule="auto"/>
        <w:jc w:val="lowKashida"/>
        <w:rPr>
          <w:rFonts w:asciiTheme="majorBidi" w:hAnsiTheme="majorBidi" w:cstheme="majorBidi"/>
          <w:b/>
          <w:bCs/>
          <w:sz w:val="24"/>
          <w:szCs w:val="24"/>
          <w:lang w:bidi="ar-EG"/>
        </w:rPr>
      </w:pPr>
      <w:r w:rsidRPr="008B4F27">
        <w:rPr>
          <w:rFonts w:asciiTheme="majorBidi" w:hAnsiTheme="majorBidi" w:cstheme="majorBidi"/>
          <w:sz w:val="24"/>
          <w:szCs w:val="24"/>
          <w:lang w:bidi="ar-EG"/>
        </w:rPr>
        <w:t xml:space="preserve">Helicobacter pylori (H. pylori) remains the most frequently encountered etiological factor of pediatric gastritis and can persist until adulthood, being responsible for chronic inflammation of the gastric mucosa, as well as for digestive and extra-digestive complications </w:t>
      </w:r>
      <w:r w:rsidRPr="008B4F27">
        <w:rPr>
          <w:rFonts w:asciiTheme="majorBidi" w:hAnsiTheme="majorBidi" w:cstheme="majorBidi"/>
          <w:b/>
          <w:bCs/>
          <w:sz w:val="24"/>
          <w:szCs w:val="24"/>
          <w:lang w:bidi="ar-EG"/>
        </w:rPr>
        <w:fldChar w:fldCharType="begin" w:fldLock="1"/>
      </w:r>
      <w:r w:rsidR="00423138">
        <w:rPr>
          <w:rFonts w:asciiTheme="majorBidi" w:hAnsiTheme="majorBidi" w:cstheme="majorBidi"/>
          <w:b/>
          <w:bCs/>
          <w:sz w:val="24"/>
          <w:szCs w:val="24"/>
          <w:lang w:bidi="ar-EG"/>
        </w:rPr>
        <w:instrText>ADDIN CSL_CITATION {"citationItems":[{"id":"ITEM-1","itemData":{"ISSN":"0248-8663","author":[{"dropping-particle":"","family":"Korwin","given":"J D","non-dropping-particle":"De","parse-names":false,"suffix":""}],"container-title":"La Revue de Medecine Interne","id":"ITEM-1","issue":"7","issued":{"date-parts":[["2021"]]},"page":"482-491","title":"Helicobacter pylori: When to look for an infection and treat it in adults?","type":"article-journal","volume":"42"},"uris":["http://www.mendeley.com/documents/?uuid=39ead302-2619-48d1-b930-696401bb9b0c"]}],"mendeley":{"formattedCitation":"(2)","plainTextFormattedCitation":"(2)","previouslyFormattedCitation":"(2)"},"properties":{"noteIndex":0},"schema":"https://github.com/citation-style-language/schema/raw/master/csl-citation.json"}</w:instrText>
      </w:r>
      <w:r w:rsidRPr="008B4F27">
        <w:rPr>
          <w:rFonts w:asciiTheme="majorBidi" w:hAnsiTheme="majorBidi" w:cstheme="majorBidi"/>
          <w:b/>
          <w:bCs/>
          <w:sz w:val="24"/>
          <w:szCs w:val="24"/>
          <w:lang w:bidi="ar-EG"/>
        </w:rPr>
        <w:fldChar w:fldCharType="separate"/>
      </w:r>
      <w:r w:rsidR="003336A9" w:rsidRPr="003336A9">
        <w:rPr>
          <w:rFonts w:asciiTheme="majorBidi" w:hAnsiTheme="majorBidi" w:cstheme="majorBidi"/>
          <w:bCs/>
          <w:noProof/>
          <w:sz w:val="24"/>
          <w:szCs w:val="24"/>
          <w:lang w:bidi="ar-EG"/>
        </w:rPr>
        <w:t>(2)</w:t>
      </w:r>
      <w:r w:rsidRPr="008B4F27">
        <w:rPr>
          <w:rFonts w:asciiTheme="majorBidi" w:hAnsiTheme="majorBidi" w:cstheme="majorBidi"/>
          <w:sz w:val="24"/>
          <w:szCs w:val="24"/>
          <w:lang w:bidi="ar-EG"/>
        </w:rPr>
        <w:fldChar w:fldCharType="end"/>
      </w:r>
      <w:r w:rsidRPr="008B4F27">
        <w:rPr>
          <w:rFonts w:asciiTheme="majorBidi" w:hAnsiTheme="majorBidi" w:cstheme="majorBidi"/>
          <w:sz w:val="24"/>
          <w:szCs w:val="24"/>
          <w:lang w:bidi="ar-EG"/>
        </w:rPr>
        <w:t xml:space="preserve">. Considered a major carcinogenetic factor, H. pylori-induced chronic inflammatory modification of the gastric mucosa can evolve into </w:t>
      </w:r>
      <w:proofErr w:type="spellStart"/>
      <w:r w:rsidRPr="008B4F27">
        <w:rPr>
          <w:rFonts w:asciiTheme="majorBidi" w:hAnsiTheme="majorBidi" w:cstheme="majorBidi"/>
          <w:sz w:val="24"/>
          <w:szCs w:val="24"/>
          <w:lang w:bidi="ar-EG"/>
        </w:rPr>
        <w:t>preneoplastic</w:t>
      </w:r>
      <w:proofErr w:type="spellEnd"/>
      <w:r w:rsidRPr="008B4F27">
        <w:rPr>
          <w:rFonts w:asciiTheme="majorBidi" w:hAnsiTheme="majorBidi" w:cstheme="majorBidi"/>
          <w:sz w:val="24"/>
          <w:szCs w:val="24"/>
          <w:lang w:bidi="ar-EG"/>
        </w:rPr>
        <w:t xml:space="preserve"> lesions, which become more prevalent with age increase  </w:t>
      </w:r>
      <w:r w:rsidRPr="008B4F27">
        <w:rPr>
          <w:rFonts w:asciiTheme="majorBidi" w:hAnsiTheme="majorBidi" w:cstheme="majorBidi"/>
          <w:b/>
          <w:bCs/>
          <w:sz w:val="24"/>
          <w:szCs w:val="24"/>
          <w:rtl/>
          <w:lang w:bidi="ar-EG"/>
        </w:rPr>
        <w:fldChar w:fldCharType="begin" w:fldLock="1"/>
      </w:r>
      <w:r w:rsidR="00423138">
        <w:rPr>
          <w:rFonts w:asciiTheme="majorBidi" w:hAnsiTheme="majorBidi" w:cstheme="majorBidi"/>
          <w:b/>
          <w:bCs/>
          <w:sz w:val="24"/>
          <w:szCs w:val="24"/>
          <w:lang w:bidi="ar-EG"/>
        </w:rPr>
        <w:instrText>ADDIN CSL_CITATION {"citationItems":[{"id":"ITEM-1","itemData":{"ISSN":"1422-0067","author":[{"dropping-particle":"","family":"Bordin","given":"Dmitry S","non-dropping-particle":"","parse-names":false,"suffix":""},{"dropping-particle":"","family":"Livzan","given":"Maria A","non-dropping-particle":"","parse-names":false,"suffix":""},{"dropping-particle":"","family":"Mozgovoi","given":"Sergei I","non-dropping-particle":"","parse-names":false,"suffix":""},{"dropping-particle":"V","family":"Gaus","given":"Olga","non-dropping-particle":"","parse-names":false,"suffix":""}],"container-title":"International Journal of Molecular Sciences","id":"ITEM-1","issue":"16","issued":{"date-parts":[["2025"]]},"page":"7737","publisher":"MDPI","title":"Autoimmune Gastritis and Helicobacter pylori Infection: Molecular Mechanisms of Relationship","type":"article-journal","volume":"26"},"uris":["http://www.mendeley.com/documents/?uuid=c3d36b56-7bd4-46f5-9dcc-ba064470364b"]}],"mendeley":{"formattedCitation":"(3)","plainTextFormattedCitation":"(3)","previouslyFormattedCitation":"(3)"},"properties":{"noteIndex":0},"schema":"https://github.com/citation-style-language/schema/raw/master/csl-citation.json"}</w:instrText>
      </w:r>
      <w:r w:rsidRPr="008B4F27">
        <w:rPr>
          <w:rFonts w:asciiTheme="majorBidi" w:hAnsiTheme="majorBidi" w:cstheme="majorBidi"/>
          <w:b/>
          <w:bCs/>
          <w:sz w:val="24"/>
          <w:szCs w:val="24"/>
          <w:rtl/>
          <w:lang w:bidi="ar-EG"/>
        </w:rPr>
        <w:fldChar w:fldCharType="separate"/>
      </w:r>
      <w:r w:rsidR="003336A9" w:rsidRPr="003336A9">
        <w:rPr>
          <w:rFonts w:asciiTheme="majorBidi" w:hAnsiTheme="majorBidi" w:cstheme="majorBidi"/>
          <w:bCs/>
          <w:noProof/>
          <w:sz w:val="24"/>
          <w:szCs w:val="24"/>
          <w:lang w:bidi="ar-EG"/>
        </w:rPr>
        <w:t>(3)</w:t>
      </w:r>
      <w:r w:rsidRPr="008B4F27">
        <w:rPr>
          <w:rFonts w:asciiTheme="majorBidi" w:hAnsiTheme="majorBidi" w:cstheme="majorBidi"/>
          <w:sz w:val="24"/>
          <w:szCs w:val="24"/>
          <w:rtl/>
          <w:lang w:bidi="ar-EG"/>
        </w:rPr>
        <w:fldChar w:fldCharType="end"/>
      </w:r>
      <w:r w:rsidRPr="008B4F27">
        <w:rPr>
          <w:rFonts w:asciiTheme="majorBidi" w:hAnsiTheme="majorBidi" w:cstheme="majorBidi"/>
          <w:b/>
          <w:bCs/>
          <w:sz w:val="24"/>
          <w:szCs w:val="24"/>
          <w:lang w:bidi="ar-EG"/>
        </w:rPr>
        <w:t>.</w:t>
      </w:r>
    </w:p>
    <w:p w:rsidR="008B4F27" w:rsidRPr="008B4F27" w:rsidRDefault="008B4F27" w:rsidP="003336A9">
      <w:pPr>
        <w:bidi w:val="0"/>
        <w:spacing w:after="120" w:line="240" w:lineRule="auto"/>
        <w:jc w:val="lowKashida"/>
        <w:rPr>
          <w:rFonts w:asciiTheme="majorBidi" w:hAnsiTheme="majorBidi" w:cstheme="majorBidi"/>
          <w:b/>
          <w:bCs/>
          <w:sz w:val="24"/>
          <w:szCs w:val="24"/>
          <w:lang w:bidi="ar-EG"/>
        </w:rPr>
      </w:pPr>
      <w:r w:rsidRPr="008B4F27">
        <w:rPr>
          <w:rFonts w:asciiTheme="majorBidi" w:hAnsiTheme="majorBidi" w:cstheme="majorBidi"/>
          <w:sz w:val="24"/>
          <w:szCs w:val="24"/>
          <w:lang w:bidi="ar-EG"/>
        </w:rPr>
        <w:t xml:space="preserve">Ultimately, the immune response will be essential for infection progression and initiation of carcinogenetic processes, which imply the activation of numerous molecular pathways, resulting in alterations of cellular deoxyribonucleic acid (DNA) and ribonucleic acid (RNA)  </w:t>
      </w:r>
      <w:r w:rsidRPr="008B4F27">
        <w:rPr>
          <w:rFonts w:asciiTheme="majorBidi" w:hAnsiTheme="majorBidi" w:cstheme="majorBidi"/>
          <w:b/>
          <w:bCs/>
          <w:sz w:val="24"/>
          <w:szCs w:val="24"/>
          <w:lang w:bidi="ar-EG"/>
        </w:rPr>
        <w:fldChar w:fldCharType="begin" w:fldLock="1"/>
      </w:r>
      <w:r w:rsidR="00423138">
        <w:rPr>
          <w:rFonts w:asciiTheme="majorBidi" w:hAnsiTheme="majorBidi" w:cstheme="majorBidi"/>
          <w:b/>
          <w:bCs/>
          <w:sz w:val="24"/>
          <w:szCs w:val="24"/>
          <w:lang w:bidi="ar-EG"/>
        </w:rPr>
        <w:instrText>ADDIN CSL_CITATION {"citationItems":[{"id":"ITEM-1","itemData":{"ISSN":"1422-0067","author":[{"dropping-particle":"","family":"Toh","given":"James W T","non-dropping-particle":"","parse-names":false,"suffix":""},{"dropping-particle":"","family":"Wilson","given":"Robert B","non-dropping-particle":"","parse-names":false,"suffix":""}],"container-title":"International journal of molecular sciences","id":"ITEM-1","issue":"17","issued":{"date-parts":[["2020"]]},"page":"6451","publisher":"MDPI","title":"Pathways of gastric carcinogenesis, Helicobacter pylori virulence and interactions with antioxidant systems, vitamin C and phytochemicals","type":"article-journal","volume":"21"},"uris":["http://www.mendeley.com/documents/?uuid=02f40438-3fc6-42f9-8725-1c5d02736eee"]}],"mendeley":{"formattedCitation":"(4)","plainTextFormattedCitation":"(4)","previouslyFormattedCitation":"(4)"},"properties":{"noteIndex":0},"schema":"https://github.com/citation-style-language/schema/raw/master/csl-citation.json"}</w:instrText>
      </w:r>
      <w:r w:rsidRPr="008B4F27">
        <w:rPr>
          <w:rFonts w:asciiTheme="majorBidi" w:hAnsiTheme="majorBidi" w:cstheme="majorBidi"/>
          <w:b/>
          <w:bCs/>
          <w:sz w:val="24"/>
          <w:szCs w:val="24"/>
          <w:lang w:bidi="ar-EG"/>
        </w:rPr>
        <w:fldChar w:fldCharType="separate"/>
      </w:r>
      <w:r w:rsidR="003336A9" w:rsidRPr="003336A9">
        <w:rPr>
          <w:rFonts w:asciiTheme="majorBidi" w:hAnsiTheme="majorBidi" w:cstheme="majorBidi"/>
          <w:bCs/>
          <w:noProof/>
          <w:sz w:val="24"/>
          <w:szCs w:val="24"/>
          <w:lang w:bidi="ar-EG"/>
        </w:rPr>
        <w:t>(4)</w:t>
      </w:r>
      <w:r w:rsidRPr="008B4F27">
        <w:rPr>
          <w:rFonts w:asciiTheme="majorBidi" w:hAnsiTheme="majorBidi" w:cstheme="majorBidi"/>
          <w:sz w:val="24"/>
          <w:szCs w:val="24"/>
          <w:lang w:bidi="ar-EG"/>
        </w:rPr>
        <w:fldChar w:fldCharType="end"/>
      </w:r>
      <w:r w:rsidRPr="008B4F27">
        <w:rPr>
          <w:rFonts w:asciiTheme="majorBidi" w:hAnsiTheme="majorBidi" w:cstheme="majorBidi"/>
          <w:b/>
          <w:bCs/>
          <w:sz w:val="24"/>
          <w:szCs w:val="24"/>
          <w:lang w:bidi="ar-EG"/>
        </w:rPr>
        <w:t>.</w:t>
      </w:r>
    </w:p>
    <w:p w:rsidR="008B4F27" w:rsidRPr="008B4F27" w:rsidRDefault="008B4F27" w:rsidP="003336A9">
      <w:pPr>
        <w:bidi w:val="0"/>
        <w:spacing w:after="120" w:line="240" w:lineRule="auto"/>
        <w:jc w:val="lowKashida"/>
        <w:rPr>
          <w:rFonts w:asciiTheme="majorBidi" w:hAnsiTheme="majorBidi" w:cstheme="majorBidi"/>
          <w:sz w:val="24"/>
          <w:szCs w:val="24"/>
          <w:lang w:bidi="ar-EG"/>
        </w:rPr>
      </w:pPr>
      <w:proofErr w:type="gramStart"/>
      <w:r w:rsidRPr="008B4F27">
        <w:rPr>
          <w:rFonts w:asciiTheme="majorBidi" w:hAnsiTheme="majorBidi" w:cstheme="majorBidi"/>
          <w:sz w:val="24"/>
          <w:szCs w:val="24"/>
          <w:lang w:bidi="ar-EG"/>
        </w:rPr>
        <w:t>miRNAs</w:t>
      </w:r>
      <w:proofErr w:type="gramEnd"/>
      <w:r w:rsidRPr="008B4F27">
        <w:rPr>
          <w:rFonts w:asciiTheme="majorBidi" w:hAnsiTheme="majorBidi" w:cstheme="majorBidi"/>
          <w:sz w:val="24"/>
          <w:szCs w:val="24"/>
          <w:lang w:bidi="ar-EG"/>
        </w:rPr>
        <w:t xml:space="preserve"> are short non-coding RNAs which negatively regulate gene expression at the post-transcriptional level , miRNAs have been proven to play a role in various biologic processes and their dependence upon target gene expression translates into </w:t>
      </w:r>
      <w:r w:rsidRPr="008B4F27">
        <w:rPr>
          <w:rFonts w:asciiTheme="majorBidi" w:hAnsiTheme="majorBidi" w:cstheme="majorBidi"/>
          <w:sz w:val="24"/>
          <w:szCs w:val="24"/>
          <w:lang w:bidi="ar-EG"/>
        </w:rPr>
        <w:lastRenderedPageBreak/>
        <w:t xml:space="preserve">contradictory effects on different organs and tissues. Given their proven role in the modulation of the innate and </w:t>
      </w:r>
      <w:proofErr w:type="spellStart"/>
      <w:r w:rsidRPr="008B4F27">
        <w:rPr>
          <w:rFonts w:asciiTheme="majorBidi" w:hAnsiTheme="majorBidi" w:cstheme="majorBidi"/>
          <w:sz w:val="24"/>
          <w:szCs w:val="24"/>
          <w:lang w:bidi="ar-EG"/>
        </w:rPr>
        <w:t>adaptative</w:t>
      </w:r>
      <w:proofErr w:type="spellEnd"/>
      <w:r w:rsidRPr="008B4F27">
        <w:rPr>
          <w:rFonts w:asciiTheme="majorBidi" w:hAnsiTheme="majorBidi" w:cstheme="majorBidi"/>
          <w:sz w:val="24"/>
          <w:szCs w:val="24"/>
          <w:lang w:bidi="ar-EG"/>
        </w:rPr>
        <w:t xml:space="preserve"> immune response, miRNAs are regarded as key regulators of inflammatory pathways triggered by pathogens </w:t>
      </w:r>
      <w:r w:rsidRPr="008B4F27">
        <w:rPr>
          <w:rFonts w:asciiTheme="majorBidi" w:hAnsiTheme="majorBidi" w:cstheme="majorBidi"/>
          <w:b/>
          <w:bCs/>
          <w:sz w:val="24"/>
          <w:szCs w:val="24"/>
          <w:lang w:bidi="ar-EG"/>
        </w:rPr>
        <w:fldChar w:fldCharType="begin" w:fldLock="1"/>
      </w:r>
      <w:r w:rsidR="00423138">
        <w:rPr>
          <w:rFonts w:asciiTheme="majorBidi" w:hAnsiTheme="majorBidi" w:cstheme="majorBidi"/>
          <w:b/>
          <w:bCs/>
          <w:sz w:val="24"/>
          <w:szCs w:val="24"/>
          <w:lang w:bidi="ar-EG"/>
        </w:rPr>
        <w:instrText>ADDIN CSL_CITATION {"citationItems":[{"id":"ITEM-1","itemData":{"ISSN":"1043-6618","author":[{"dropping-particle":"","family":"Xu","given":"Huimei","non-dropping-particle":"","parse-names":false,"suffix":""},{"dropping-particle":"","family":"Huang","given":"Ke","non-dropping-particle":"","parse-names":false,"suffix":""},{"dropping-particle":"","family":"Shi","given":"Mingxuan","non-dropping-particle":"","parse-names":false,"suffix":""},{"dropping-particle":"","family":"Gong","given":"Hang","non-dropping-particle":"","parse-names":false,"suffix":""},{"dropping-particle":"","family":"Han","given":"Mengyu","non-dropping-particle":"","parse-names":false,"suffix":""},{"dropping-particle":"","family":"Tian","given":"Wenji","non-dropping-particle":"","parse-names":false,"suffix":""},{"dropping-particle":"","family":"Wang","given":"Xiaoying","non-dropping-particle":"","parse-names":false,"suffix":""},{"dropping-particle":"","family":"Zhang","given":"Dekui","non-dropping-particle":"","parse-names":false,"suffix":""}],"container-title":"Pharmacological Research","id":"ITEM-1","issued":{"date-parts":[["2024"]]},"page":"107216","publisher":"Elsevier","title":"MicroRNAs in Helicobacter pylori-infected gastric cancer: Function and clinical application","type":"article-journal"},"uris":["http://www.mendeley.com/documents/?uuid=a5c2969f-dcff-4b04-9309-d6bae5a3b0a4"]}],"mendeley":{"formattedCitation":"(5)","plainTextFormattedCitation":"(5)","previouslyFormattedCitation":"(5)"},"properties":{"noteIndex":0},"schema":"https://github.com/citation-style-language/schema/raw/master/csl-citation.json"}</w:instrText>
      </w:r>
      <w:r w:rsidRPr="008B4F27">
        <w:rPr>
          <w:rFonts w:asciiTheme="majorBidi" w:hAnsiTheme="majorBidi" w:cstheme="majorBidi"/>
          <w:b/>
          <w:bCs/>
          <w:sz w:val="24"/>
          <w:szCs w:val="24"/>
          <w:lang w:bidi="ar-EG"/>
        </w:rPr>
        <w:fldChar w:fldCharType="separate"/>
      </w:r>
      <w:r w:rsidR="003336A9" w:rsidRPr="003336A9">
        <w:rPr>
          <w:rFonts w:asciiTheme="majorBidi" w:hAnsiTheme="majorBidi" w:cstheme="majorBidi"/>
          <w:bCs/>
          <w:noProof/>
          <w:sz w:val="24"/>
          <w:szCs w:val="24"/>
          <w:lang w:bidi="ar-EG"/>
        </w:rPr>
        <w:t>(5)</w:t>
      </w:r>
      <w:r w:rsidRPr="008B4F27">
        <w:rPr>
          <w:rFonts w:asciiTheme="majorBidi" w:hAnsiTheme="majorBidi" w:cstheme="majorBidi"/>
          <w:sz w:val="24"/>
          <w:szCs w:val="24"/>
          <w:lang w:bidi="ar-EG"/>
        </w:rPr>
        <w:fldChar w:fldCharType="end"/>
      </w:r>
      <w:r w:rsidRPr="008B4F27">
        <w:rPr>
          <w:rFonts w:asciiTheme="majorBidi" w:hAnsiTheme="majorBidi" w:cstheme="majorBidi"/>
          <w:b/>
          <w:bCs/>
          <w:sz w:val="24"/>
          <w:szCs w:val="24"/>
          <w:lang w:bidi="ar-EG"/>
        </w:rPr>
        <w:t>.</w:t>
      </w:r>
    </w:p>
    <w:p w:rsidR="008B4F27" w:rsidRPr="008B4F27" w:rsidRDefault="008B4F27" w:rsidP="003336A9">
      <w:pPr>
        <w:bidi w:val="0"/>
        <w:spacing w:after="120" w:line="240" w:lineRule="auto"/>
        <w:jc w:val="lowKashida"/>
        <w:rPr>
          <w:rFonts w:asciiTheme="majorBidi" w:hAnsiTheme="majorBidi" w:cstheme="majorBidi"/>
          <w:sz w:val="24"/>
          <w:szCs w:val="24"/>
          <w:lang w:bidi="ar-EG"/>
        </w:rPr>
      </w:pPr>
      <w:r w:rsidRPr="008B4F27">
        <w:rPr>
          <w:rFonts w:asciiTheme="majorBidi" w:hAnsiTheme="majorBidi" w:cstheme="majorBidi"/>
          <w:sz w:val="24"/>
          <w:szCs w:val="24"/>
          <w:lang w:bidi="ar-EG"/>
        </w:rPr>
        <w:t xml:space="preserve">One of the main functions of miRNAs is the downregulation of protein synthesis, including the ones responsible for cell division inhibition. Thus, alteration of miRNA expression has been linked to abnormal cell division, an important milestone in the initiation and evolution of carcinogenesis </w:t>
      </w:r>
      <w:r w:rsidRPr="008B4F27">
        <w:rPr>
          <w:rFonts w:asciiTheme="majorBidi" w:hAnsiTheme="majorBidi" w:cstheme="majorBidi"/>
          <w:b/>
          <w:bCs/>
          <w:sz w:val="24"/>
          <w:szCs w:val="24"/>
          <w:lang w:bidi="ar-EG"/>
        </w:rPr>
        <w:fldChar w:fldCharType="begin" w:fldLock="1"/>
      </w:r>
      <w:r w:rsidR="00423138">
        <w:rPr>
          <w:rFonts w:asciiTheme="majorBidi" w:hAnsiTheme="majorBidi" w:cstheme="majorBidi"/>
          <w:b/>
          <w:bCs/>
          <w:sz w:val="24"/>
          <w:szCs w:val="24"/>
          <w:lang w:bidi="ar-EG"/>
        </w:rPr>
        <w:instrText>ADDIN CSL_CITATION {"citationItems":[{"id":"ITEM-1","itemData":{"ISSN":"1478-811X","author":[{"dropping-particle":"","family":"İlhan","given":"Ahmet","non-dropping-particle":"","parse-names":false,"suffix":""},{"dropping-particle":"","family":"Golestani","given":"Shayan","non-dropping-particle":"","parse-names":false,"suffix":""},{"dropping-particle":"","family":"Shafagh","given":"Seyyed Ghavam","non-dropping-particle":"","parse-names":false,"suffix":""},{"dropping-particle":"","family":"Asadi","given":"Fatemeh","non-dropping-particle":"","parse-names":false,"suffix":""},{"dropping-particle":"","family":"Daneshdoust","given":"Danyal","non-dropping-particle":"","parse-names":false,"suffix":""},{"dropping-particle":"","family":"Al-Naqeeb","given":"Bashar Zuhair Talib","non-dropping-particle":"","parse-names":false,"suffix":""},{"dropping-particle":"","family":"Nemati","given":"Mohammed Mahdi","non-dropping-particle":"","parse-names":false,"suffix":""},{"dropping-particle":"","family":"Khalatbari","given":"Fateme","non-dropping-particle":"","parse-names":false,"suffix":""},{"dropping-particle":"","family":"Yaseri","given":"Amirhossein Fakhre","non-dropping-particle":"","parse-names":false,"suffix":""}],"container-title":"Cell Communication and Signaling","id":"ITEM-1","issue":"1","issued":{"date-parts":[["2023"]]},"page":"1-13","publisher":"BioMed Central","title":"The dual role of microRNA (miR)-20b in cancers: Friend or foe?","type":"article-journal","volume":"21"},"uris":["http://www.mendeley.com/documents/?uuid=16bb7ecc-4197-4958-8083-60804efca144"]}],"mendeley":{"formattedCitation":"(6)","plainTextFormattedCitation":"(6)","previouslyFormattedCitation":"(6)"},"properties":{"noteIndex":0},"schema":"https://github.com/citation-style-language/schema/raw/master/csl-citation.json"}</w:instrText>
      </w:r>
      <w:r w:rsidRPr="008B4F27">
        <w:rPr>
          <w:rFonts w:asciiTheme="majorBidi" w:hAnsiTheme="majorBidi" w:cstheme="majorBidi"/>
          <w:b/>
          <w:bCs/>
          <w:sz w:val="24"/>
          <w:szCs w:val="24"/>
          <w:lang w:bidi="ar-EG"/>
        </w:rPr>
        <w:fldChar w:fldCharType="separate"/>
      </w:r>
      <w:r w:rsidR="003336A9" w:rsidRPr="003336A9">
        <w:rPr>
          <w:rFonts w:asciiTheme="majorBidi" w:hAnsiTheme="majorBidi" w:cstheme="majorBidi"/>
          <w:bCs/>
          <w:noProof/>
          <w:sz w:val="24"/>
          <w:szCs w:val="24"/>
          <w:lang w:bidi="ar-EG"/>
        </w:rPr>
        <w:t>(6)</w:t>
      </w:r>
      <w:r w:rsidRPr="008B4F27">
        <w:rPr>
          <w:rFonts w:asciiTheme="majorBidi" w:hAnsiTheme="majorBidi" w:cstheme="majorBidi"/>
          <w:sz w:val="24"/>
          <w:szCs w:val="24"/>
          <w:lang w:bidi="ar-EG"/>
        </w:rPr>
        <w:fldChar w:fldCharType="end"/>
      </w:r>
      <w:r w:rsidRPr="008B4F27">
        <w:rPr>
          <w:rFonts w:asciiTheme="majorBidi" w:hAnsiTheme="majorBidi" w:cstheme="majorBidi"/>
          <w:b/>
          <w:bCs/>
          <w:sz w:val="24"/>
          <w:szCs w:val="24"/>
          <w:lang w:bidi="ar-EG"/>
        </w:rPr>
        <w:t>.</w:t>
      </w:r>
    </w:p>
    <w:p w:rsidR="008B4F27" w:rsidRPr="008B4F27" w:rsidRDefault="008B4F27" w:rsidP="003336A9">
      <w:pPr>
        <w:bidi w:val="0"/>
        <w:spacing w:after="120" w:line="240" w:lineRule="auto"/>
        <w:jc w:val="lowKashida"/>
        <w:rPr>
          <w:rFonts w:asciiTheme="majorBidi" w:hAnsiTheme="majorBidi" w:cstheme="majorBidi"/>
          <w:sz w:val="24"/>
          <w:szCs w:val="24"/>
          <w:lang w:bidi="ar-EG"/>
        </w:rPr>
      </w:pPr>
      <w:r w:rsidRPr="008B4F27">
        <w:rPr>
          <w:rFonts w:asciiTheme="majorBidi" w:hAnsiTheme="majorBidi" w:cstheme="majorBidi"/>
          <w:sz w:val="24"/>
          <w:szCs w:val="24"/>
          <w:lang w:bidi="ar-EG"/>
        </w:rPr>
        <w:t xml:space="preserve">miRNA-155 prevent excessive inflammatory responses triggered by H. pylori infection, with miRNA-155 acting as an integrated part of a negative feedback loop mechanism which will, in the end, inhibit the release of pro-inflammatory cytokines </w:t>
      </w:r>
      <w:r w:rsidRPr="008B4F27">
        <w:rPr>
          <w:rFonts w:asciiTheme="majorBidi" w:hAnsiTheme="majorBidi" w:cstheme="majorBidi"/>
          <w:b/>
          <w:bCs/>
          <w:sz w:val="24"/>
          <w:szCs w:val="24"/>
          <w:lang w:bidi="ar-EG"/>
        </w:rPr>
        <w:fldChar w:fldCharType="begin" w:fldLock="1"/>
      </w:r>
      <w:r w:rsidR="00423138">
        <w:rPr>
          <w:rFonts w:asciiTheme="majorBidi" w:hAnsiTheme="majorBidi" w:cstheme="majorBidi"/>
          <w:b/>
          <w:bCs/>
          <w:sz w:val="24"/>
          <w:szCs w:val="24"/>
          <w:lang w:bidi="ar-EG"/>
        </w:rPr>
        <w:instrText>ADDIN CSL_CITATION {"citationItems":[{"id":"ITEM-1","itemData":{"ISSN":"2077-0383","author":[{"dropping-particle":"","family":"Oana","given":"Săsăran Maria","non-dropping-particle":"","parse-names":false,"suffix":""},{"dropping-particle":"","family":"Claudia","given":"Bănescu","non-dropping-particle":"","parse-names":false,"suffix":""},{"dropping-particle":"","family":"Lelia","given":"Riza Anca","non-dropping-particle":"","parse-names":false,"suffix":""},{"dropping-particle":"","family":"Simona","given":"Mocan","non-dropping-particle":"","parse-names":false,"suffix":""},{"dropping-particle":"","family":"Claudia","given":"Cârstea","non-dropping-particle":"","parse-names":false,"suffix":""},{"dropping-particle":"","family":"Daniela","given":"Dobru Ecaterina","non-dropping-particle":"","parse-names":false,"suffix":""}],"container-title":"Journal of Clinical Medicine","id":"ITEM-1","issue":"12","issued":{"date-parts":[["2022"]]},"page":"3351","publisher":"MDPI","title":"Differential expression of tissular miRNA-155 in pediatric gastritis","type":"article-journal","volume":"11"},"uris":["http://www.mendeley.com/documents/?uuid=8c3002dc-7beb-470a-9dd5-de2bbb8e7bd3"]}],"mendeley":{"formattedCitation":"(7)","plainTextFormattedCitation":"(7)","previouslyFormattedCitation":"(7)"},"properties":{"noteIndex":0},"schema":"https://github.com/citation-style-language/schema/raw/master/csl-citation.json"}</w:instrText>
      </w:r>
      <w:r w:rsidRPr="008B4F27">
        <w:rPr>
          <w:rFonts w:asciiTheme="majorBidi" w:hAnsiTheme="majorBidi" w:cstheme="majorBidi"/>
          <w:b/>
          <w:bCs/>
          <w:sz w:val="24"/>
          <w:szCs w:val="24"/>
          <w:lang w:bidi="ar-EG"/>
        </w:rPr>
        <w:fldChar w:fldCharType="separate"/>
      </w:r>
      <w:r w:rsidR="003336A9" w:rsidRPr="003336A9">
        <w:rPr>
          <w:rFonts w:asciiTheme="majorBidi" w:hAnsiTheme="majorBidi" w:cstheme="majorBidi"/>
          <w:bCs/>
          <w:noProof/>
          <w:sz w:val="24"/>
          <w:szCs w:val="24"/>
          <w:lang w:bidi="ar-EG"/>
        </w:rPr>
        <w:t>(7)</w:t>
      </w:r>
      <w:r w:rsidRPr="008B4F27">
        <w:rPr>
          <w:rFonts w:asciiTheme="majorBidi" w:hAnsiTheme="majorBidi" w:cstheme="majorBidi"/>
          <w:sz w:val="24"/>
          <w:szCs w:val="24"/>
          <w:lang w:bidi="ar-EG"/>
        </w:rPr>
        <w:fldChar w:fldCharType="end"/>
      </w:r>
      <w:r w:rsidRPr="008B4F27">
        <w:rPr>
          <w:rFonts w:asciiTheme="majorBidi" w:hAnsiTheme="majorBidi" w:cstheme="majorBidi"/>
          <w:b/>
          <w:bCs/>
          <w:sz w:val="24"/>
          <w:szCs w:val="24"/>
          <w:lang w:bidi="ar-EG"/>
        </w:rPr>
        <w:t>.</w:t>
      </w:r>
    </w:p>
    <w:p w:rsidR="008B4F27" w:rsidRPr="008B4F27" w:rsidRDefault="008B4F27" w:rsidP="003336A9">
      <w:pPr>
        <w:bidi w:val="0"/>
        <w:spacing w:after="120" w:line="240" w:lineRule="auto"/>
        <w:jc w:val="lowKashida"/>
        <w:rPr>
          <w:rFonts w:asciiTheme="majorBidi" w:hAnsiTheme="majorBidi" w:cstheme="majorBidi"/>
          <w:sz w:val="24"/>
          <w:szCs w:val="24"/>
          <w:lang w:bidi="ar-EG"/>
        </w:rPr>
      </w:pPr>
      <w:proofErr w:type="gramStart"/>
      <w:r w:rsidRPr="008B4F27">
        <w:rPr>
          <w:rFonts w:asciiTheme="majorBidi" w:hAnsiTheme="majorBidi" w:cstheme="majorBidi"/>
          <w:sz w:val="24"/>
          <w:szCs w:val="24"/>
          <w:lang w:bidi="ar-EG"/>
        </w:rPr>
        <w:t>miRNA-204</w:t>
      </w:r>
      <w:proofErr w:type="gramEnd"/>
      <w:r w:rsidRPr="008B4F27">
        <w:rPr>
          <w:rFonts w:asciiTheme="majorBidi" w:hAnsiTheme="majorBidi" w:cstheme="majorBidi"/>
          <w:sz w:val="24"/>
          <w:szCs w:val="24"/>
          <w:lang w:bidi="ar-EG"/>
        </w:rPr>
        <w:t xml:space="preserve"> acts as a tumor suppressor in multiple types of cancer through regulating multiple target genes. miRNA-204 reduces the expression of the </w:t>
      </w:r>
      <w:proofErr w:type="spellStart"/>
      <w:r w:rsidRPr="008B4F27">
        <w:rPr>
          <w:rFonts w:asciiTheme="majorBidi" w:hAnsiTheme="majorBidi" w:cstheme="majorBidi"/>
          <w:sz w:val="24"/>
          <w:szCs w:val="24"/>
          <w:lang w:bidi="ar-EG"/>
        </w:rPr>
        <w:t>antiapoptosis</w:t>
      </w:r>
      <w:proofErr w:type="spellEnd"/>
      <w:r w:rsidRPr="008B4F27">
        <w:rPr>
          <w:rFonts w:asciiTheme="majorBidi" w:hAnsiTheme="majorBidi" w:cstheme="majorBidi"/>
          <w:sz w:val="24"/>
          <w:szCs w:val="24"/>
          <w:lang w:bidi="ar-EG"/>
        </w:rPr>
        <w:t xml:space="preserve"> gene </w:t>
      </w:r>
      <w:r w:rsidRPr="008B4F27">
        <w:rPr>
          <w:rFonts w:asciiTheme="majorBidi" w:hAnsiTheme="majorBidi" w:cstheme="majorBidi"/>
          <w:i/>
          <w:iCs/>
          <w:sz w:val="24"/>
          <w:szCs w:val="24"/>
          <w:lang w:bidi="ar-EG"/>
        </w:rPr>
        <w:t>BCL-2</w:t>
      </w:r>
      <w:r w:rsidRPr="008B4F27">
        <w:rPr>
          <w:rFonts w:asciiTheme="majorBidi" w:hAnsiTheme="majorBidi" w:cstheme="majorBidi"/>
          <w:sz w:val="24"/>
          <w:szCs w:val="24"/>
          <w:lang w:bidi="ar-EG"/>
        </w:rPr>
        <w:t xml:space="preserve"> in GC cells and leads to their sensitization to the chemotherapeutic agents 5-FU and </w:t>
      </w:r>
      <w:proofErr w:type="spellStart"/>
      <w:r w:rsidRPr="008B4F27">
        <w:rPr>
          <w:rFonts w:asciiTheme="majorBidi" w:hAnsiTheme="majorBidi" w:cstheme="majorBidi"/>
          <w:sz w:val="24"/>
          <w:szCs w:val="24"/>
          <w:lang w:bidi="ar-EG"/>
        </w:rPr>
        <w:t>oxaliplatin</w:t>
      </w:r>
      <w:proofErr w:type="spellEnd"/>
      <w:r w:rsidRPr="008B4F27">
        <w:rPr>
          <w:rFonts w:asciiTheme="majorBidi" w:hAnsiTheme="majorBidi" w:cstheme="majorBidi"/>
          <w:sz w:val="24"/>
          <w:szCs w:val="24"/>
          <w:lang w:bidi="ar-EG"/>
        </w:rPr>
        <w:t xml:space="preserve">, thereby influencing the prognosis of patients </w:t>
      </w:r>
      <w:r w:rsidRPr="008B4F27">
        <w:rPr>
          <w:rFonts w:asciiTheme="majorBidi" w:hAnsiTheme="majorBidi" w:cstheme="majorBidi"/>
          <w:b/>
          <w:bCs/>
          <w:sz w:val="24"/>
          <w:szCs w:val="24"/>
          <w:lang w:bidi="ar-EG"/>
        </w:rPr>
        <w:fldChar w:fldCharType="begin" w:fldLock="1"/>
      </w:r>
      <w:r w:rsidR="00423138">
        <w:rPr>
          <w:rFonts w:asciiTheme="majorBidi" w:hAnsiTheme="majorBidi" w:cstheme="majorBidi"/>
          <w:b/>
          <w:bCs/>
          <w:sz w:val="24"/>
          <w:szCs w:val="24"/>
          <w:lang w:bidi="ar-EG"/>
        </w:rPr>
        <w:instrText>ADDIN CSL_CITATION {"citationItems":[{"id":"ITEM-1","itemData":{"ISSN":"0143-3334","author":[{"dropping-particle":"","family":"Chen","given":"Peizhan","non-dropping-particle":"","parse-names":false,"suffix":""},{"dropping-particle":"","family":"Guo","given":"He","non-dropping-particle":"","parse-names":false,"suffix":""},{"dropping-particle":"","family":"Wu","given":"Xuming","non-dropping-particle":"","parse-names":false,"suffix":""},{"dropping-particle":"","family":"Li","given":"Jingquan","non-dropping-particle":"","parse-names":false,"suffix":""},{"dropping-particle":"","family":"Duan","given":"Xiaohua","non-dropping-particle":"","parse-names":false,"suffix":""},{"dropping-particle":"","family":"Ba","given":"Qian","non-dropping-particle":"","parse-names":false,"suffix":""},{"dropping-particle":"","family":"Wang","given":"Hui","non-dropping-particle":"","parse-names":false,"suffix":""}],"container-title":"Carcinogenesis","id":"ITEM-1","issue":"4","issued":{"date-parts":[["2020"]]},"page":"430-441","publisher":"Oxford University Press UK","title":"Epigenetic silencing of microRNA-204 by Helicobacter pylori augments the NF-κB signaling pathway in gastric cancer development and progression","type":"article-journal","volume":"41"},"uris":["http://www.mendeley.com/documents/?uuid=9cedc516-be95-4217-9a50-08022d3dc403"]}],"mendeley":{"formattedCitation":"(8)","plainTextFormattedCitation":"(8)","previouslyFormattedCitation":"(8)"},"properties":{"noteIndex":0},"schema":"https://github.com/citation-style-language/schema/raw/master/csl-citation.json"}</w:instrText>
      </w:r>
      <w:r w:rsidRPr="008B4F27">
        <w:rPr>
          <w:rFonts w:asciiTheme="majorBidi" w:hAnsiTheme="majorBidi" w:cstheme="majorBidi"/>
          <w:b/>
          <w:bCs/>
          <w:sz w:val="24"/>
          <w:szCs w:val="24"/>
          <w:lang w:bidi="ar-EG"/>
        </w:rPr>
        <w:fldChar w:fldCharType="separate"/>
      </w:r>
      <w:r w:rsidR="003336A9" w:rsidRPr="003336A9">
        <w:rPr>
          <w:rFonts w:asciiTheme="majorBidi" w:hAnsiTheme="majorBidi" w:cstheme="majorBidi"/>
          <w:bCs/>
          <w:noProof/>
          <w:sz w:val="24"/>
          <w:szCs w:val="24"/>
          <w:lang w:bidi="ar-EG"/>
        </w:rPr>
        <w:t>(8)</w:t>
      </w:r>
      <w:r w:rsidRPr="008B4F27">
        <w:rPr>
          <w:rFonts w:asciiTheme="majorBidi" w:hAnsiTheme="majorBidi" w:cstheme="majorBidi"/>
          <w:sz w:val="24"/>
          <w:szCs w:val="24"/>
          <w:lang w:bidi="ar-EG"/>
        </w:rPr>
        <w:fldChar w:fldCharType="end"/>
      </w:r>
      <w:r w:rsidRPr="008B4F27">
        <w:rPr>
          <w:rFonts w:asciiTheme="majorBidi" w:hAnsiTheme="majorBidi" w:cstheme="majorBidi"/>
          <w:b/>
          <w:bCs/>
          <w:sz w:val="24"/>
          <w:szCs w:val="24"/>
          <w:lang w:bidi="ar-EG"/>
        </w:rPr>
        <w:t>.</w:t>
      </w:r>
      <w:r w:rsidRPr="008B4F27">
        <w:rPr>
          <w:rFonts w:asciiTheme="majorBidi" w:hAnsiTheme="majorBidi" w:cstheme="majorBidi"/>
          <w:sz w:val="24"/>
          <w:szCs w:val="24"/>
          <w:lang w:bidi="ar-EG"/>
        </w:rPr>
        <w:t> </w:t>
      </w:r>
    </w:p>
    <w:p w:rsidR="003336A9" w:rsidRPr="003336A9" w:rsidRDefault="003336A9" w:rsidP="003336A9">
      <w:pPr>
        <w:bidi w:val="0"/>
        <w:spacing w:after="120" w:line="240" w:lineRule="auto"/>
        <w:jc w:val="lowKashida"/>
        <w:rPr>
          <w:rFonts w:asciiTheme="majorBidi" w:hAnsiTheme="majorBidi" w:cstheme="majorBidi"/>
          <w:bCs/>
          <w:sz w:val="24"/>
          <w:szCs w:val="24"/>
          <w:lang w:bidi="ar-EG"/>
        </w:rPr>
      </w:pPr>
      <w:r w:rsidRPr="003336A9">
        <w:rPr>
          <w:rFonts w:asciiTheme="majorBidi" w:hAnsiTheme="majorBidi" w:cstheme="majorBidi"/>
          <w:bCs/>
          <w:sz w:val="24"/>
          <w:szCs w:val="24"/>
          <w:lang w:val="en-GB" w:bidi="ar-EG"/>
        </w:rPr>
        <w:t xml:space="preserve">This study aimed to </w:t>
      </w:r>
      <w:r w:rsidRPr="003336A9">
        <w:rPr>
          <w:rFonts w:asciiTheme="majorBidi" w:hAnsiTheme="majorBidi" w:cstheme="majorBidi"/>
          <w:bCs/>
          <w:sz w:val="24"/>
          <w:szCs w:val="24"/>
          <w:lang w:bidi="ar-EG"/>
        </w:rPr>
        <w:t>assess the differential expression of miR-155 and miRNA-204 in relation to gastritis, and assess their relation with the presence of H. pylori in children.</w:t>
      </w:r>
    </w:p>
    <w:p w:rsidR="00D7740F" w:rsidRPr="003336A9" w:rsidRDefault="003336A9" w:rsidP="00D7740F">
      <w:pPr>
        <w:bidi w:val="0"/>
        <w:spacing w:after="120" w:line="240" w:lineRule="auto"/>
        <w:rPr>
          <w:rFonts w:asciiTheme="majorBidi" w:hAnsiTheme="majorBidi" w:cstheme="majorBidi"/>
          <w:b/>
          <w:bCs/>
          <w:sz w:val="24"/>
          <w:szCs w:val="24"/>
          <w:u w:val="single"/>
          <w:lang w:bidi="ar-EG"/>
        </w:rPr>
      </w:pPr>
      <w:r w:rsidRPr="003336A9">
        <w:rPr>
          <w:rFonts w:asciiTheme="majorBidi" w:hAnsiTheme="majorBidi" w:cstheme="majorBidi"/>
          <w:b/>
          <w:bCs/>
          <w:sz w:val="24"/>
          <w:szCs w:val="24"/>
          <w:u w:val="single"/>
          <w:lang w:bidi="ar-EG"/>
        </w:rPr>
        <w:t>Patients and methods</w:t>
      </w:r>
    </w:p>
    <w:p w:rsidR="00423138" w:rsidRDefault="00423138" w:rsidP="004529C8">
      <w:pPr>
        <w:bidi w:val="0"/>
        <w:spacing w:after="120" w:line="240" w:lineRule="auto"/>
        <w:jc w:val="lowKashida"/>
        <w:rPr>
          <w:rFonts w:asciiTheme="majorBidi" w:hAnsiTheme="majorBidi" w:cstheme="majorBidi"/>
          <w:sz w:val="24"/>
          <w:szCs w:val="24"/>
          <w:lang w:bidi="ar-EG"/>
        </w:rPr>
      </w:pPr>
      <w:r>
        <w:rPr>
          <w:rFonts w:asciiTheme="majorBidi" w:hAnsiTheme="majorBidi" w:cstheme="majorBidi"/>
          <w:sz w:val="24"/>
          <w:szCs w:val="24"/>
          <w:lang w:bidi="ar-EG"/>
        </w:rPr>
        <w:t>This</w:t>
      </w:r>
      <w:r w:rsidR="004529C8">
        <w:rPr>
          <w:rFonts w:asciiTheme="majorBidi" w:hAnsiTheme="majorBidi" w:cstheme="majorBidi"/>
          <w:sz w:val="24"/>
          <w:szCs w:val="24"/>
          <w:lang w:bidi="ar-EG"/>
        </w:rPr>
        <w:t xml:space="preserve"> cross-sectional study was conducted at </w:t>
      </w:r>
      <w:r w:rsidR="00E27EFF" w:rsidRPr="00E27EFF">
        <w:rPr>
          <w:rFonts w:asciiTheme="majorBidi" w:hAnsiTheme="majorBidi" w:cstheme="majorBidi"/>
          <w:sz w:val="24"/>
          <w:szCs w:val="24"/>
          <w:lang w:bidi="ar-EG"/>
        </w:rPr>
        <w:t xml:space="preserve">Gastroenterology and </w:t>
      </w:r>
      <w:proofErr w:type="spellStart"/>
      <w:r w:rsidR="00E27EFF" w:rsidRPr="00E27EFF">
        <w:rPr>
          <w:rFonts w:asciiTheme="majorBidi" w:hAnsiTheme="majorBidi" w:cstheme="majorBidi"/>
          <w:sz w:val="24"/>
          <w:szCs w:val="24"/>
          <w:lang w:bidi="ar-EG"/>
        </w:rPr>
        <w:t>hepatology</w:t>
      </w:r>
      <w:proofErr w:type="spellEnd"/>
      <w:r w:rsidR="00E27EFF" w:rsidRPr="00E27EFF">
        <w:rPr>
          <w:rFonts w:asciiTheme="majorBidi" w:hAnsiTheme="majorBidi" w:cstheme="majorBidi"/>
          <w:sz w:val="24"/>
          <w:szCs w:val="24"/>
          <w:lang w:bidi="ar-EG"/>
        </w:rPr>
        <w:t xml:space="preserve"> unit, Pediatric department, </w:t>
      </w:r>
      <w:proofErr w:type="spellStart"/>
      <w:r w:rsidR="00E27EFF" w:rsidRPr="00E27EFF">
        <w:rPr>
          <w:rFonts w:asciiTheme="majorBidi" w:hAnsiTheme="majorBidi" w:cstheme="majorBidi"/>
          <w:sz w:val="24"/>
          <w:szCs w:val="24"/>
          <w:lang w:bidi="ar-EG"/>
        </w:rPr>
        <w:t>Benha</w:t>
      </w:r>
      <w:proofErr w:type="spellEnd"/>
      <w:r w:rsidR="00E27EFF" w:rsidRPr="00E27EFF">
        <w:rPr>
          <w:rFonts w:asciiTheme="majorBidi" w:hAnsiTheme="majorBidi" w:cstheme="majorBidi"/>
          <w:sz w:val="24"/>
          <w:szCs w:val="24"/>
          <w:lang w:bidi="ar-EG"/>
        </w:rPr>
        <w:t xml:space="preserve"> University Hospital, </w:t>
      </w:r>
      <w:proofErr w:type="spellStart"/>
      <w:r w:rsidR="00E27EFF" w:rsidRPr="00E27EFF">
        <w:rPr>
          <w:rFonts w:asciiTheme="majorBidi" w:hAnsiTheme="majorBidi" w:cstheme="majorBidi"/>
          <w:sz w:val="24"/>
          <w:szCs w:val="24"/>
          <w:lang w:bidi="ar-EG"/>
        </w:rPr>
        <w:t>Benha</w:t>
      </w:r>
      <w:proofErr w:type="spellEnd"/>
      <w:r w:rsidR="00E27EFF" w:rsidRPr="00E27EFF">
        <w:rPr>
          <w:rFonts w:asciiTheme="majorBidi" w:hAnsiTheme="majorBidi" w:cstheme="majorBidi"/>
          <w:sz w:val="24"/>
          <w:szCs w:val="24"/>
          <w:lang w:bidi="ar-EG"/>
        </w:rPr>
        <w:t xml:space="preserve">, </w:t>
      </w:r>
      <w:proofErr w:type="spellStart"/>
      <w:r w:rsidR="00E27EFF" w:rsidRPr="00E27EFF">
        <w:rPr>
          <w:rFonts w:asciiTheme="majorBidi" w:hAnsiTheme="majorBidi" w:cstheme="majorBidi"/>
          <w:sz w:val="24"/>
          <w:szCs w:val="24"/>
          <w:lang w:bidi="ar-EG"/>
        </w:rPr>
        <w:t>Egypt.</w:t>
      </w:r>
      <w:r w:rsidR="004529C8">
        <w:rPr>
          <w:rFonts w:asciiTheme="majorBidi" w:hAnsiTheme="majorBidi" w:cstheme="majorBidi"/>
          <w:sz w:val="24"/>
          <w:szCs w:val="24"/>
          <w:lang w:bidi="ar-EG"/>
        </w:rPr>
        <w:t>during</w:t>
      </w:r>
      <w:proofErr w:type="spellEnd"/>
      <w:r w:rsidR="004529C8">
        <w:rPr>
          <w:rFonts w:asciiTheme="majorBidi" w:hAnsiTheme="majorBidi" w:cstheme="majorBidi"/>
          <w:sz w:val="24"/>
          <w:szCs w:val="24"/>
          <w:lang w:bidi="ar-EG"/>
        </w:rPr>
        <w:t xml:space="preserve"> the period from S</w:t>
      </w:r>
      <w:r w:rsidR="00E27EFF" w:rsidRPr="00E27EFF">
        <w:rPr>
          <w:rFonts w:asciiTheme="majorBidi" w:hAnsiTheme="majorBidi" w:cstheme="majorBidi"/>
          <w:sz w:val="24"/>
          <w:szCs w:val="24"/>
          <w:lang w:bidi="ar-EG"/>
        </w:rPr>
        <w:t>eptember 2023 to September 202</w:t>
      </w:r>
      <w:r w:rsidR="004529C8">
        <w:rPr>
          <w:rFonts w:asciiTheme="majorBidi" w:hAnsiTheme="majorBidi" w:cstheme="majorBidi"/>
          <w:sz w:val="24"/>
          <w:szCs w:val="24"/>
          <w:lang w:bidi="ar-EG"/>
        </w:rPr>
        <w:t xml:space="preserve">5, and </w:t>
      </w:r>
      <w:r w:rsidR="00E27EFF" w:rsidRPr="00E27EFF">
        <w:rPr>
          <w:rFonts w:asciiTheme="majorBidi" w:hAnsiTheme="majorBidi" w:cstheme="majorBidi"/>
          <w:sz w:val="24"/>
          <w:szCs w:val="24"/>
          <w:lang w:bidi="ar-EG"/>
        </w:rPr>
        <w:t xml:space="preserve"> included </w:t>
      </w:r>
      <w:r w:rsidRPr="00423138">
        <w:rPr>
          <w:rFonts w:asciiTheme="majorBidi" w:hAnsiTheme="majorBidi" w:cstheme="majorBidi"/>
          <w:sz w:val="24"/>
          <w:szCs w:val="24"/>
          <w:lang w:bidi="ar-EG"/>
        </w:rPr>
        <w:t>80 children with gastritis</w:t>
      </w:r>
      <w:r w:rsidR="00E27EFF" w:rsidRPr="00423138">
        <w:rPr>
          <w:rFonts w:asciiTheme="majorBidi" w:hAnsiTheme="majorBidi" w:cstheme="majorBidi"/>
          <w:sz w:val="24"/>
          <w:szCs w:val="24"/>
          <w:lang w:bidi="ar-EG"/>
        </w:rPr>
        <w:t xml:space="preserve"> </w:t>
      </w:r>
      <w:r w:rsidR="00E27EFF" w:rsidRPr="00E27EFF">
        <w:rPr>
          <w:rFonts w:asciiTheme="majorBidi" w:hAnsiTheme="majorBidi" w:cstheme="majorBidi"/>
          <w:sz w:val="24"/>
          <w:szCs w:val="24"/>
          <w:lang w:bidi="ar-EG"/>
        </w:rPr>
        <w:t xml:space="preserve">attending the gastroenterology and </w:t>
      </w:r>
      <w:proofErr w:type="spellStart"/>
      <w:r w:rsidR="00E27EFF" w:rsidRPr="00E27EFF">
        <w:rPr>
          <w:rFonts w:asciiTheme="majorBidi" w:hAnsiTheme="majorBidi" w:cstheme="majorBidi"/>
          <w:sz w:val="24"/>
          <w:szCs w:val="24"/>
          <w:lang w:bidi="ar-EG"/>
        </w:rPr>
        <w:t>hepatology</w:t>
      </w:r>
      <w:proofErr w:type="spellEnd"/>
      <w:r w:rsidR="00E27EFF" w:rsidRPr="00E27EFF">
        <w:rPr>
          <w:rFonts w:asciiTheme="majorBidi" w:hAnsiTheme="majorBidi" w:cstheme="majorBidi"/>
          <w:sz w:val="24"/>
          <w:szCs w:val="24"/>
          <w:lang w:bidi="ar-EG"/>
        </w:rPr>
        <w:t xml:space="preserve"> unit at </w:t>
      </w:r>
      <w:proofErr w:type="spellStart"/>
      <w:r w:rsidR="00E27EFF" w:rsidRPr="00E27EFF">
        <w:rPr>
          <w:rFonts w:asciiTheme="majorBidi" w:hAnsiTheme="majorBidi" w:cstheme="majorBidi"/>
          <w:sz w:val="24"/>
          <w:szCs w:val="24"/>
          <w:lang w:bidi="ar-EG"/>
        </w:rPr>
        <w:t>benha</w:t>
      </w:r>
      <w:proofErr w:type="spellEnd"/>
      <w:r w:rsidR="00E27EFF" w:rsidRPr="00E27EFF">
        <w:rPr>
          <w:rFonts w:asciiTheme="majorBidi" w:hAnsiTheme="majorBidi" w:cstheme="majorBidi"/>
          <w:sz w:val="24"/>
          <w:szCs w:val="24"/>
          <w:lang w:bidi="ar-EG"/>
        </w:rPr>
        <w:t xml:space="preserve"> university hospital who accept to participate and fulfill the inclusion criteria.</w:t>
      </w:r>
      <w:r w:rsidRPr="00423138">
        <w:rPr>
          <w:rFonts w:asciiTheme="majorBidi" w:hAnsiTheme="majorBidi" w:cstheme="majorBidi"/>
          <w:sz w:val="24"/>
          <w:szCs w:val="24"/>
          <w:lang w:bidi="ar-EG"/>
        </w:rPr>
        <w:t xml:space="preserve"> And 80 </w:t>
      </w:r>
      <w:r>
        <w:rPr>
          <w:rFonts w:asciiTheme="majorBidi" w:hAnsiTheme="majorBidi" w:cstheme="majorBidi"/>
          <w:sz w:val="24"/>
          <w:szCs w:val="24"/>
          <w:lang w:bidi="ar-EG"/>
        </w:rPr>
        <w:t xml:space="preserve">age and sex matched, </w:t>
      </w:r>
      <w:r w:rsidRPr="00423138">
        <w:rPr>
          <w:rFonts w:asciiTheme="majorBidi" w:hAnsiTheme="majorBidi" w:cstheme="majorBidi"/>
          <w:sz w:val="24"/>
          <w:szCs w:val="24"/>
          <w:lang w:bidi="ar-EG"/>
        </w:rPr>
        <w:t xml:space="preserve">healthy children as a control group. </w:t>
      </w:r>
    </w:p>
    <w:p w:rsidR="00E27EFF" w:rsidRPr="00E27EFF" w:rsidRDefault="00E27EFF" w:rsidP="00E27EFF">
      <w:pPr>
        <w:bidi w:val="0"/>
        <w:spacing w:after="120" w:line="240" w:lineRule="auto"/>
        <w:rPr>
          <w:rFonts w:asciiTheme="majorBidi" w:hAnsiTheme="majorBidi" w:cstheme="majorBidi"/>
          <w:b/>
          <w:bCs/>
          <w:i/>
          <w:iCs/>
          <w:sz w:val="24"/>
          <w:szCs w:val="24"/>
          <w:rtl/>
          <w:lang w:bidi="ar-EG"/>
        </w:rPr>
      </w:pPr>
      <w:r w:rsidRPr="00E27EFF">
        <w:rPr>
          <w:rFonts w:asciiTheme="majorBidi" w:hAnsiTheme="majorBidi" w:cstheme="majorBidi"/>
          <w:b/>
          <w:bCs/>
          <w:i/>
          <w:iCs/>
          <w:sz w:val="24"/>
          <w:szCs w:val="24"/>
          <w:lang w:bidi="ar-EG"/>
        </w:rPr>
        <w:t>Inclusion Criteria</w:t>
      </w:r>
    </w:p>
    <w:p w:rsidR="00E27EFF" w:rsidRPr="00E27EFF" w:rsidRDefault="00E27EFF" w:rsidP="004529C8">
      <w:pPr>
        <w:bidi w:val="0"/>
        <w:spacing w:after="120" w:line="240" w:lineRule="auto"/>
        <w:jc w:val="lowKashida"/>
        <w:rPr>
          <w:rFonts w:asciiTheme="majorBidi" w:hAnsiTheme="majorBidi" w:cstheme="majorBidi"/>
          <w:b/>
          <w:bCs/>
          <w:sz w:val="24"/>
          <w:szCs w:val="24"/>
          <w:lang w:bidi="ar-EG"/>
        </w:rPr>
      </w:pPr>
      <w:r w:rsidRPr="00E27EFF">
        <w:rPr>
          <w:rFonts w:asciiTheme="majorBidi" w:hAnsiTheme="majorBidi" w:cstheme="majorBidi"/>
          <w:sz w:val="24"/>
          <w:szCs w:val="24"/>
          <w:lang w:bidi="ar-EG"/>
        </w:rPr>
        <w:t>Children less than 18 years old with symptoms that motive the performance of upper gastrointestinal endoscopy this include children with;</w:t>
      </w:r>
    </w:p>
    <w:p w:rsidR="00E27EFF" w:rsidRPr="00423138" w:rsidRDefault="00E27EFF" w:rsidP="004529C8">
      <w:pPr>
        <w:numPr>
          <w:ilvl w:val="0"/>
          <w:numId w:val="3"/>
        </w:numPr>
        <w:bidi w:val="0"/>
        <w:spacing w:after="120" w:line="240" w:lineRule="auto"/>
        <w:jc w:val="lowKashida"/>
        <w:rPr>
          <w:rFonts w:asciiTheme="majorBidi" w:hAnsiTheme="majorBidi" w:cstheme="majorBidi"/>
          <w:sz w:val="24"/>
          <w:szCs w:val="24"/>
          <w:lang w:bidi="ar-EG"/>
        </w:rPr>
      </w:pPr>
      <w:r w:rsidRPr="00423138">
        <w:rPr>
          <w:rFonts w:asciiTheme="majorBidi" w:hAnsiTheme="majorBidi" w:cstheme="majorBidi"/>
          <w:sz w:val="24"/>
          <w:szCs w:val="24"/>
          <w:lang w:bidi="ar-EG"/>
        </w:rPr>
        <w:t>Peptic-like dyspepsia diagnosed by the presence of two or more of the following:</w:t>
      </w:r>
      <w:r w:rsidR="00423138" w:rsidRPr="00423138">
        <w:rPr>
          <w:rFonts w:asciiTheme="majorBidi" w:hAnsiTheme="majorBidi" w:cstheme="majorBidi"/>
          <w:sz w:val="24"/>
          <w:szCs w:val="24"/>
          <w:lang w:bidi="ar-EG"/>
        </w:rPr>
        <w:t xml:space="preserve"> </w:t>
      </w:r>
      <w:r w:rsidRPr="00423138">
        <w:rPr>
          <w:rFonts w:asciiTheme="majorBidi" w:hAnsiTheme="majorBidi" w:cstheme="majorBidi"/>
          <w:sz w:val="24"/>
          <w:szCs w:val="24"/>
          <w:lang w:bidi="ar-EG"/>
        </w:rPr>
        <w:t xml:space="preserve">periodic </w:t>
      </w:r>
      <w:proofErr w:type="spellStart"/>
      <w:r w:rsidRPr="00423138">
        <w:rPr>
          <w:rFonts w:asciiTheme="majorBidi" w:hAnsiTheme="majorBidi" w:cstheme="majorBidi"/>
          <w:sz w:val="24"/>
          <w:szCs w:val="24"/>
          <w:lang w:bidi="ar-EG"/>
        </w:rPr>
        <w:t>pain,pain</w:t>
      </w:r>
      <w:proofErr w:type="spellEnd"/>
      <w:r w:rsidRPr="00423138">
        <w:rPr>
          <w:rFonts w:asciiTheme="majorBidi" w:hAnsiTheme="majorBidi" w:cstheme="majorBidi"/>
          <w:sz w:val="24"/>
          <w:szCs w:val="24"/>
          <w:lang w:bidi="ar-EG"/>
        </w:rPr>
        <w:t xml:space="preserve"> relieved by food, pain relieved by </w:t>
      </w:r>
      <w:proofErr w:type="spellStart"/>
      <w:r w:rsidRPr="00423138">
        <w:rPr>
          <w:rFonts w:asciiTheme="majorBidi" w:hAnsiTheme="majorBidi" w:cstheme="majorBidi"/>
          <w:sz w:val="24"/>
          <w:szCs w:val="24"/>
          <w:lang w:bidi="ar-EG"/>
        </w:rPr>
        <w:t>antacid,pain</w:t>
      </w:r>
      <w:proofErr w:type="spellEnd"/>
      <w:r w:rsidRPr="00423138">
        <w:rPr>
          <w:rFonts w:asciiTheme="majorBidi" w:hAnsiTheme="majorBidi" w:cstheme="majorBidi"/>
          <w:sz w:val="24"/>
          <w:szCs w:val="24"/>
          <w:lang w:bidi="ar-EG"/>
        </w:rPr>
        <w:t xml:space="preserve"> before meal or while hungry, nausea and/or </w:t>
      </w:r>
      <w:proofErr w:type="spellStart"/>
      <w:r w:rsidRPr="00423138">
        <w:rPr>
          <w:rFonts w:asciiTheme="majorBidi" w:hAnsiTheme="majorBidi" w:cstheme="majorBidi"/>
          <w:sz w:val="24"/>
          <w:szCs w:val="24"/>
          <w:lang w:bidi="ar-EG"/>
        </w:rPr>
        <w:t>vomiting,and</w:t>
      </w:r>
      <w:proofErr w:type="spellEnd"/>
      <w:r w:rsidRPr="00423138">
        <w:rPr>
          <w:rFonts w:asciiTheme="majorBidi" w:hAnsiTheme="majorBidi" w:cstheme="majorBidi"/>
          <w:sz w:val="24"/>
          <w:szCs w:val="24"/>
          <w:lang w:bidi="ar-EG"/>
        </w:rPr>
        <w:t xml:space="preserve"> night pain.</w:t>
      </w:r>
    </w:p>
    <w:p w:rsidR="00E27EFF" w:rsidRPr="00423138" w:rsidRDefault="00E27EFF" w:rsidP="004529C8">
      <w:pPr>
        <w:numPr>
          <w:ilvl w:val="0"/>
          <w:numId w:val="3"/>
        </w:numPr>
        <w:bidi w:val="0"/>
        <w:spacing w:after="120" w:line="240" w:lineRule="auto"/>
        <w:jc w:val="lowKashida"/>
        <w:rPr>
          <w:rFonts w:asciiTheme="majorBidi" w:hAnsiTheme="majorBidi" w:cstheme="majorBidi"/>
          <w:sz w:val="24"/>
          <w:szCs w:val="24"/>
          <w:lang w:bidi="ar-EG"/>
        </w:rPr>
      </w:pPr>
      <w:proofErr w:type="spellStart"/>
      <w:r w:rsidRPr="00423138">
        <w:rPr>
          <w:rFonts w:asciiTheme="majorBidi" w:hAnsiTheme="majorBidi" w:cstheme="majorBidi"/>
          <w:sz w:val="24"/>
          <w:szCs w:val="24"/>
          <w:lang w:bidi="ar-EG"/>
        </w:rPr>
        <w:t>Dysmotility</w:t>
      </w:r>
      <w:proofErr w:type="spellEnd"/>
      <w:r w:rsidRPr="00423138">
        <w:rPr>
          <w:rFonts w:asciiTheme="majorBidi" w:hAnsiTheme="majorBidi" w:cstheme="majorBidi"/>
          <w:sz w:val="24"/>
          <w:szCs w:val="24"/>
          <w:lang w:bidi="ar-EG"/>
        </w:rPr>
        <w:t xml:space="preserve">-like dyspepsia diagnosed by presence of two or more of the following: abdominal floating or distention, </w:t>
      </w:r>
      <w:proofErr w:type="spellStart"/>
      <w:r w:rsidRPr="00423138">
        <w:rPr>
          <w:rFonts w:asciiTheme="majorBidi" w:hAnsiTheme="majorBidi" w:cstheme="majorBidi"/>
          <w:sz w:val="24"/>
          <w:szCs w:val="24"/>
          <w:lang w:bidi="ar-EG"/>
        </w:rPr>
        <w:t>anorexia</w:t>
      </w:r>
      <w:proofErr w:type="gramStart"/>
      <w:r w:rsidRPr="00423138">
        <w:rPr>
          <w:rFonts w:asciiTheme="majorBidi" w:hAnsiTheme="majorBidi" w:cstheme="majorBidi"/>
          <w:sz w:val="24"/>
          <w:szCs w:val="24"/>
          <w:lang w:bidi="ar-EG"/>
        </w:rPr>
        <w:t>,or</w:t>
      </w:r>
      <w:proofErr w:type="spellEnd"/>
      <w:proofErr w:type="gramEnd"/>
      <w:r w:rsidRPr="00423138">
        <w:rPr>
          <w:rFonts w:asciiTheme="majorBidi" w:hAnsiTheme="majorBidi" w:cstheme="majorBidi"/>
          <w:sz w:val="24"/>
          <w:szCs w:val="24"/>
          <w:lang w:bidi="ar-EG"/>
        </w:rPr>
        <w:t xml:space="preserve"> weight loss, pain aggravated by food or milk and pain relieved belching.</w:t>
      </w:r>
    </w:p>
    <w:p w:rsidR="00E27EFF" w:rsidRPr="00E27EFF" w:rsidRDefault="00E27EFF" w:rsidP="004529C8">
      <w:pPr>
        <w:numPr>
          <w:ilvl w:val="0"/>
          <w:numId w:val="3"/>
        </w:numPr>
        <w:bidi w:val="0"/>
        <w:spacing w:after="120" w:line="240" w:lineRule="auto"/>
        <w:jc w:val="lowKashida"/>
        <w:rPr>
          <w:rFonts w:asciiTheme="majorBidi" w:hAnsiTheme="majorBidi" w:cstheme="majorBidi"/>
          <w:sz w:val="24"/>
          <w:szCs w:val="24"/>
          <w:lang w:bidi="ar-EG"/>
        </w:rPr>
      </w:pPr>
      <w:r w:rsidRPr="00E27EFF">
        <w:rPr>
          <w:rFonts w:asciiTheme="majorBidi" w:hAnsiTheme="majorBidi" w:cstheme="majorBidi"/>
          <w:sz w:val="24"/>
          <w:szCs w:val="24"/>
          <w:lang w:bidi="ar-EG"/>
        </w:rPr>
        <w:t xml:space="preserve">Reflux-like dyspepsia diagnosed if the child presented </w:t>
      </w:r>
      <w:proofErr w:type="spellStart"/>
      <w:r w:rsidRPr="00E27EFF">
        <w:rPr>
          <w:rFonts w:asciiTheme="majorBidi" w:hAnsiTheme="majorBidi" w:cstheme="majorBidi"/>
          <w:sz w:val="24"/>
          <w:szCs w:val="24"/>
          <w:lang w:bidi="ar-EG"/>
        </w:rPr>
        <w:t>wih</w:t>
      </w:r>
      <w:proofErr w:type="spellEnd"/>
      <w:r w:rsidRPr="00E27EFF">
        <w:rPr>
          <w:rFonts w:asciiTheme="majorBidi" w:hAnsiTheme="majorBidi" w:cstheme="majorBidi"/>
          <w:sz w:val="24"/>
          <w:szCs w:val="24"/>
          <w:lang w:bidi="ar-EG"/>
        </w:rPr>
        <w:t xml:space="preserve"> either heartburn, chest pain or acid regurgitation.</w:t>
      </w:r>
    </w:p>
    <w:p w:rsidR="00E27EFF" w:rsidRPr="00E27EFF" w:rsidRDefault="00E27EFF" w:rsidP="004529C8">
      <w:pPr>
        <w:numPr>
          <w:ilvl w:val="0"/>
          <w:numId w:val="3"/>
        </w:numPr>
        <w:bidi w:val="0"/>
        <w:spacing w:after="120" w:line="240" w:lineRule="auto"/>
        <w:jc w:val="lowKashida"/>
        <w:rPr>
          <w:rFonts w:asciiTheme="majorBidi" w:hAnsiTheme="majorBidi" w:cstheme="majorBidi"/>
          <w:sz w:val="24"/>
          <w:szCs w:val="24"/>
          <w:lang w:bidi="ar-EG"/>
        </w:rPr>
      </w:pPr>
      <w:r w:rsidRPr="00E27EFF">
        <w:rPr>
          <w:rFonts w:asciiTheme="majorBidi" w:hAnsiTheme="majorBidi" w:cstheme="majorBidi"/>
          <w:sz w:val="24"/>
          <w:szCs w:val="24"/>
          <w:lang w:bidi="ar-EG"/>
        </w:rPr>
        <w:t>Children who have red flags including (</w:t>
      </w:r>
      <w:proofErr w:type="spellStart"/>
      <w:r w:rsidRPr="00E27EFF">
        <w:rPr>
          <w:rFonts w:asciiTheme="majorBidi" w:hAnsiTheme="majorBidi" w:cstheme="majorBidi"/>
          <w:sz w:val="24"/>
          <w:szCs w:val="24"/>
          <w:lang w:bidi="ar-EG"/>
        </w:rPr>
        <w:t>anemia</w:t>
      </w:r>
      <w:proofErr w:type="gramStart"/>
      <w:r w:rsidRPr="00E27EFF">
        <w:rPr>
          <w:rFonts w:asciiTheme="majorBidi" w:hAnsiTheme="majorBidi" w:cstheme="majorBidi"/>
          <w:sz w:val="24"/>
          <w:szCs w:val="24"/>
          <w:lang w:bidi="ar-EG"/>
        </w:rPr>
        <w:t>,high</w:t>
      </w:r>
      <w:proofErr w:type="spellEnd"/>
      <w:proofErr w:type="gramEnd"/>
      <w:r w:rsidRPr="00E27EFF">
        <w:rPr>
          <w:rFonts w:asciiTheme="majorBidi" w:hAnsiTheme="majorBidi" w:cstheme="majorBidi"/>
          <w:sz w:val="24"/>
          <w:szCs w:val="24"/>
          <w:lang w:bidi="ar-EG"/>
        </w:rPr>
        <w:t xml:space="preserve"> ESR,GI bleeding, faltering growth "failure to thrive" ).</w:t>
      </w:r>
    </w:p>
    <w:p w:rsidR="00E27EFF" w:rsidRPr="00E27EFF" w:rsidRDefault="00E27EFF" w:rsidP="004529C8">
      <w:pPr>
        <w:bidi w:val="0"/>
        <w:spacing w:after="120" w:line="240" w:lineRule="auto"/>
        <w:jc w:val="lowKashida"/>
        <w:rPr>
          <w:rFonts w:asciiTheme="majorBidi" w:hAnsiTheme="majorBidi" w:cstheme="majorBidi"/>
          <w:b/>
          <w:bCs/>
          <w:i/>
          <w:iCs/>
          <w:sz w:val="24"/>
          <w:szCs w:val="24"/>
          <w:lang w:bidi="ar-EG"/>
        </w:rPr>
      </w:pPr>
      <w:r w:rsidRPr="00E27EFF">
        <w:rPr>
          <w:rFonts w:asciiTheme="majorBidi" w:hAnsiTheme="majorBidi" w:cstheme="majorBidi"/>
          <w:b/>
          <w:bCs/>
          <w:i/>
          <w:iCs/>
          <w:sz w:val="24"/>
          <w:szCs w:val="24"/>
          <w:lang w:bidi="ar-EG"/>
        </w:rPr>
        <w:t>Exclusion Criteria:</w:t>
      </w:r>
    </w:p>
    <w:p w:rsidR="00E27EFF" w:rsidRPr="00E27EFF" w:rsidRDefault="00E27EFF" w:rsidP="004529C8">
      <w:pPr>
        <w:numPr>
          <w:ilvl w:val="0"/>
          <w:numId w:val="2"/>
        </w:numPr>
        <w:bidi w:val="0"/>
        <w:spacing w:after="120" w:line="240" w:lineRule="auto"/>
        <w:jc w:val="lowKashida"/>
        <w:rPr>
          <w:rFonts w:asciiTheme="majorBidi" w:hAnsiTheme="majorBidi" w:cstheme="majorBidi"/>
          <w:sz w:val="24"/>
          <w:szCs w:val="24"/>
          <w:lang w:bidi="ar-EG"/>
        </w:rPr>
      </w:pPr>
      <w:r w:rsidRPr="00E27EFF">
        <w:rPr>
          <w:rFonts w:asciiTheme="majorBidi" w:hAnsiTheme="majorBidi" w:cstheme="majorBidi"/>
          <w:sz w:val="24"/>
          <w:szCs w:val="24"/>
          <w:lang w:bidi="ar-EG"/>
        </w:rPr>
        <w:t xml:space="preserve">Patients with gastrointestinal diseases that might explain abdominal pain e.g., inflammatory bowel </w:t>
      </w:r>
      <w:proofErr w:type="spellStart"/>
      <w:r w:rsidRPr="00E27EFF">
        <w:rPr>
          <w:rFonts w:asciiTheme="majorBidi" w:hAnsiTheme="majorBidi" w:cstheme="majorBidi"/>
          <w:sz w:val="24"/>
          <w:szCs w:val="24"/>
          <w:lang w:bidi="ar-EG"/>
        </w:rPr>
        <w:t>disease</w:t>
      </w:r>
      <w:proofErr w:type="gramStart"/>
      <w:r w:rsidRPr="00E27EFF">
        <w:rPr>
          <w:rFonts w:asciiTheme="majorBidi" w:hAnsiTheme="majorBidi" w:cstheme="majorBidi"/>
          <w:sz w:val="24"/>
          <w:szCs w:val="24"/>
          <w:lang w:bidi="ar-EG"/>
        </w:rPr>
        <w:t>,celiac</w:t>
      </w:r>
      <w:proofErr w:type="spellEnd"/>
      <w:proofErr w:type="gramEnd"/>
      <w:r w:rsidRPr="00E27EFF">
        <w:rPr>
          <w:rFonts w:asciiTheme="majorBidi" w:hAnsiTheme="majorBidi" w:cstheme="majorBidi"/>
          <w:sz w:val="24"/>
          <w:szCs w:val="24"/>
          <w:lang w:bidi="ar-EG"/>
        </w:rPr>
        <w:t xml:space="preserve"> disease and functional abdominal pain.</w:t>
      </w:r>
    </w:p>
    <w:p w:rsidR="00E27EFF" w:rsidRPr="00E27EFF" w:rsidRDefault="00E27EFF" w:rsidP="004529C8">
      <w:pPr>
        <w:numPr>
          <w:ilvl w:val="0"/>
          <w:numId w:val="2"/>
        </w:numPr>
        <w:bidi w:val="0"/>
        <w:spacing w:after="120" w:line="240" w:lineRule="auto"/>
        <w:jc w:val="lowKashida"/>
        <w:rPr>
          <w:rFonts w:asciiTheme="majorBidi" w:hAnsiTheme="majorBidi" w:cstheme="majorBidi"/>
          <w:sz w:val="24"/>
          <w:szCs w:val="24"/>
          <w:lang w:bidi="ar-EG"/>
        </w:rPr>
      </w:pPr>
      <w:r w:rsidRPr="00E27EFF">
        <w:rPr>
          <w:rFonts w:asciiTheme="majorBidi" w:hAnsiTheme="majorBidi" w:cstheme="majorBidi"/>
          <w:sz w:val="24"/>
          <w:szCs w:val="24"/>
          <w:lang w:bidi="ar-EG"/>
        </w:rPr>
        <w:t xml:space="preserve">Patients with medical </w:t>
      </w:r>
      <w:proofErr w:type="spellStart"/>
      <w:r w:rsidRPr="00E27EFF">
        <w:rPr>
          <w:rFonts w:asciiTheme="majorBidi" w:hAnsiTheme="majorBidi" w:cstheme="majorBidi"/>
          <w:sz w:val="24"/>
          <w:szCs w:val="24"/>
          <w:lang w:bidi="ar-EG"/>
        </w:rPr>
        <w:t>comorbidites</w:t>
      </w:r>
      <w:proofErr w:type="spellEnd"/>
      <w:r w:rsidRPr="00E27EFF">
        <w:rPr>
          <w:rFonts w:asciiTheme="majorBidi" w:hAnsiTheme="majorBidi" w:cstheme="majorBidi"/>
          <w:sz w:val="24"/>
          <w:szCs w:val="24"/>
          <w:lang w:bidi="ar-EG"/>
        </w:rPr>
        <w:t xml:space="preserve"> or any other major chronic disease.</w:t>
      </w:r>
    </w:p>
    <w:p w:rsidR="00CE77CD" w:rsidRDefault="00CE77CD" w:rsidP="004529C8">
      <w:pPr>
        <w:bidi w:val="0"/>
        <w:spacing w:after="120" w:line="240" w:lineRule="auto"/>
        <w:jc w:val="lowKashida"/>
        <w:rPr>
          <w:rFonts w:asciiTheme="majorBidi" w:hAnsiTheme="majorBidi" w:cstheme="majorBidi"/>
          <w:b/>
          <w:bCs/>
          <w:sz w:val="24"/>
          <w:szCs w:val="24"/>
          <w:lang w:bidi="ar-EG"/>
        </w:rPr>
      </w:pPr>
    </w:p>
    <w:p w:rsidR="00CE77CD" w:rsidRDefault="00CE77CD" w:rsidP="00CE77CD">
      <w:pPr>
        <w:bidi w:val="0"/>
        <w:spacing w:after="120" w:line="240" w:lineRule="auto"/>
        <w:jc w:val="lowKashida"/>
        <w:rPr>
          <w:rFonts w:asciiTheme="majorBidi" w:hAnsiTheme="majorBidi" w:cstheme="majorBidi"/>
          <w:b/>
          <w:bCs/>
          <w:sz w:val="24"/>
          <w:szCs w:val="24"/>
          <w:lang w:bidi="ar-EG"/>
        </w:rPr>
      </w:pPr>
    </w:p>
    <w:p w:rsidR="00E27EFF" w:rsidRPr="00423138" w:rsidRDefault="00E27EFF" w:rsidP="00CE77CD">
      <w:pPr>
        <w:bidi w:val="0"/>
        <w:spacing w:after="120" w:line="240" w:lineRule="auto"/>
        <w:jc w:val="lowKashida"/>
        <w:rPr>
          <w:rFonts w:asciiTheme="majorBidi" w:hAnsiTheme="majorBidi" w:cstheme="majorBidi"/>
          <w:b/>
          <w:bCs/>
          <w:sz w:val="24"/>
          <w:szCs w:val="24"/>
          <w:lang w:bidi="ar-EG"/>
        </w:rPr>
      </w:pPr>
      <w:r w:rsidRPr="00423138">
        <w:rPr>
          <w:rFonts w:asciiTheme="majorBidi" w:hAnsiTheme="majorBidi" w:cstheme="majorBidi"/>
          <w:b/>
          <w:bCs/>
          <w:sz w:val="24"/>
          <w:szCs w:val="24"/>
          <w:lang w:bidi="ar-EG"/>
        </w:rPr>
        <w:lastRenderedPageBreak/>
        <w:t>Sample size</w:t>
      </w:r>
    </w:p>
    <w:p w:rsidR="00E27EFF" w:rsidRPr="00E27EFF" w:rsidRDefault="00E27EFF" w:rsidP="00CE77CD">
      <w:pPr>
        <w:bidi w:val="0"/>
        <w:spacing w:after="120" w:line="240" w:lineRule="auto"/>
        <w:jc w:val="lowKashida"/>
        <w:rPr>
          <w:rFonts w:asciiTheme="majorBidi" w:hAnsiTheme="majorBidi" w:cstheme="majorBidi"/>
          <w:sz w:val="24"/>
          <w:szCs w:val="24"/>
          <w:lang w:bidi="ar-EG"/>
        </w:rPr>
      </w:pPr>
      <w:proofErr w:type="spellStart"/>
      <w:r w:rsidRPr="00E27EFF">
        <w:rPr>
          <w:rFonts w:asciiTheme="majorBidi" w:hAnsiTheme="majorBidi" w:cstheme="majorBidi"/>
          <w:sz w:val="24"/>
          <w:szCs w:val="24"/>
          <w:lang w:bidi="ar-EG"/>
        </w:rPr>
        <w:t>Epiinfo</w:t>
      </w:r>
      <w:proofErr w:type="spellEnd"/>
      <w:r w:rsidRPr="00E27EFF">
        <w:rPr>
          <w:rFonts w:asciiTheme="majorBidi" w:hAnsiTheme="majorBidi" w:cstheme="majorBidi"/>
          <w:sz w:val="24"/>
          <w:szCs w:val="24"/>
          <w:lang w:bidi="ar-EG"/>
        </w:rPr>
        <w:t xml:space="preserve"> program was used to calculate the least sample size at 0.05 level of </w:t>
      </w:r>
      <w:proofErr w:type="gramStart"/>
      <w:r w:rsidRPr="00E27EFF">
        <w:rPr>
          <w:rFonts w:asciiTheme="majorBidi" w:hAnsiTheme="majorBidi" w:cstheme="majorBidi"/>
          <w:sz w:val="24"/>
          <w:szCs w:val="24"/>
          <w:lang w:bidi="ar-EG"/>
        </w:rPr>
        <w:t>significance  and</w:t>
      </w:r>
      <w:proofErr w:type="gramEnd"/>
      <w:r w:rsidRPr="00E27EFF">
        <w:rPr>
          <w:rFonts w:asciiTheme="majorBidi" w:hAnsiTheme="majorBidi" w:cstheme="majorBidi"/>
          <w:sz w:val="24"/>
          <w:szCs w:val="24"/>
          <w:lang w:bidi="ar-EG"/>
        </w:rPr>
        <w:t xml:space="preserve"> power 0.8 ,it was 80 patients.</w:t>
      </w:r>
    </w:p>
    <w:p w:rsidR="00E27EFF" w:rsidRPr="00E27EFF" w:rsidRDefault="00E27EFF" w:rsidP="004529C8">
      <w:pPr>
        <w:bidi w:val="0"/>
        <w:spacing w:after="120" w:line="240" w:lineRule="auto"/>
        <w:jc w:val="lowKashida"/>
        <w:rPr>
          <w:rFonts w:asciiTheme="majorBidi" w:hAnsiTheme="majorBidi" w:cstheme="majorBidi"/>
          <w:b/>
          <w:bCs/>
          <w:sz w:val="24"/>
          <w:szCs w:val="24"/>
          <w:lang w:bidi="ar-EG"/>
        </w:rPr>
      </w:pPr>
      <w:r w:rsidRPr="00E27EFF">
        <w:rPr>
          <w:rFonts w:asciiTheme="majorBidi" w:hAnsiTheme="majorBidi" w:cstheme="majorBidi"/>
          <w:b/>
          <w:bCs/>
          <w:sz w:val="24"/>
          <w:szCs w:val="24"/>
          <w:lang w:bidi="ar-EG"/>
        </w:rPr>
        <w:t>Study groups</w:t>
      </w:r>
    </w:p>
    <w:p w:rsidR="00E27EFF" w:rsidRPr="00E27EFF" w:rsidRDefault="00E27EFF" w:rsidP="004529C8">
      <w:pPr>
        <w:bidi w:val="0"/>
        <w:spacing w:after="120" w:line="240" w:lineRule="auto"/>
        <w:jc w:val="lowKashida"/>
        <w:rPr>
          <w:rFonts w:asciiTheme="majorBidi" w:hAnsiTheme="majorBidi" w:cstheme="majorBidi"/>
          <w:sz w:val="24"/>
          <w:szCs w:val="24"/>
          <w:lang w:bidi="ar-EG"/>
        </w:rPr>
      </w:pPr>
      <w:r w:rsidRPr="00E27EFF">
        <w:rPr>
          <w:rFonts w:asciiTheme="majorBidi" w:hAnsiTheme="majorBidi" w:cstheme="majorBidi"/>
          <w:sz w:val="24"/>
          <w:szCs w:val="24"/>
          <w:lang w:bidi="ar-EG"/>
        </w:rPr>
        <w:t>All children were divided into two groups according to the result of upper endoscopy:</w:t>
      </w:r>
    </w:p>
    <w:p w:rsidR="00E27EFF" w:rsidRPr="00E27EFF" w:rsidRDefault="00E27EFF" w:rsidP="004529C8">
      <w:pPr>
        <w:numPr>
          <w:ilvl w:val="0"/>
          <w:numId w:val="1"/>
        </w:numPr>
        <w:bidi w:val="0"/>
        <w:spacing w:after="120" w:line="240" w:lineRule="auto"/>
        <w:jc w:val="lowKashida"/>
        <w:rPr>
          <w:rFonts w:asciiTheme="majorBidi" w:hAnsiTheme="majorBidi" w:cstheme="majorBidi"/>
          <w:sz w:val="24"/>
          <w:szCs w:val="24"/>
          <w:lang w:bidi="ar-EG"/>
        </w:rPr>
      </w:pPr>
      <w:r w:rsidRPr="00E27EFF">
        <w:rPr>
          <w:rFonts w:asciiTheme="majorBidi" w:hAnsiTheme="majorBidi" w:cstheme="majorBidi"/>
          <w:b/>
          <w:bCs/>
          <w:sz w:val="24"/>
          <w:szCs w:val="24"/>
          <w:lang w:bidi="ar-EG"/>
        </w:rPr>
        <w:t>Gastritis group:</w:t>
      </w:r>
      <w:r w:rsidRPr="00E27EFF">
        <w:rPr>
          <w:rFonts w:asciiTheme="majorBidi" w:hAnsiTheme="majorBidi" w:cstheme="majorBidi"/>
          <w:sz w:val="24"/>
          <w:szCs w:val="24"/>
          <w:lang w:bidi="ar-EG"/>
        </w:rPr>
        <w:t xml:space="preserve"> included 80 children with gastritis, this group were further divided into two subgroups;</w:t>
      </w:r>
    </w:p>
    <w:p w:rsidR="00E27EFF" w:rsidRPr="00E27EFF" w:rsidRDefault="00E27EFF" w:rsidP="004529C8">
      <w:pPr>
        <w:numPr>
          <w:ilvl w:val="2"/>
          <w:numId w:val="1"/>
        </w:numPr>
        <w:bidi w:val="0"/>
        <w:spacing w:after="120" w:line="240" w:lineRule="auto"/>
        <w:jc w:val="lowKashida"/>
        <w:rPr>
          <w:rFonts w:asciiTheme="majorBidi" w:hAnsiTheme="majorBidi" w:cstheme="majorBidi"/>
          <w:sz w:val="24"/>
          <w:szCs w:val="24"/>
          <w:lang w:bidi="ar-EG"/>
        </w:rPr>
      </w:pPr>
      <w:proofErr w:type="spellStart"/>
      <w:r w:rsidRPr="00E27EFF">
        <w:rPr>
          <w:rFonts w:asciiTheme="majorBidi" w:hAnsiTheme="majorBidi" w:cstheme="majorBidi"/>
          <w:b/>
          <w:bCs/>
          <w:sz w:val="24"/>
          <w:szCs w:val="24"/>
          <w:lang w:bidi="ar-EG"/>
        </w:rPr>
        <w:t>H.pylori</w:t>
      </w:r>
      <w:proofErr w:type="spellEnd"/>
      <w:r w:rsidRPr="00E27EFF">
        <w:rPr>
          <w:rFonts w:asciiTheme="majorBidi" w:hAnsiTheme="majorBidi" w:cstheme="majorBidi"/>
          <w:b/>
          <w:bCs/>
          <w:sz w:val="24"/>
          <w:szCs w:val="24"/>
          <w:lang w:bidi="ar-EG"/>
        </w:rPr>
        <w:t xml:space="preserve"> positive group:</w:t>
      </w:r>
      <w:r w:rsidRPr="00E27EFF">
        <w:rPr>
          <w:rFonts w:asciiTheme="majorBidi" w:hAnsiTheme="majorBidi" w:cstheme="majorBidi"/>
          <w:sz w:val="24"/>
          <w:szCs w:val="24"/>
          <w:lang w:bidi="ar-EG"/>
        </w:rPr>
        <w:t xml:space="preserve"> included 49 children (20 males and 29 females), their mean age was 10.2±4.3 years.</w:t>
      </w:r>
    </w:p>
    <w:p w:rsidR="00E27EFF" w:rsidRPr="00E27EFF" w:rsidRDefault="00E27EFF" w:rsidP="004529C8">
      <w:pPr>
        <w:numPr>
          <w:ilvl w:val="2"/>
          <w:numId w:val="1"/>
        </w:numPr>
        <w:bidi w:val="0"/>
        <w:spacing w:after="120" w:line="240" w:lineRule="auto"/>
        <w:jc w:val="lowKashida"/>
        <w:rPr>
          <w:rFonts w:asciiTheme="majorBidi" w:hAnsiTheme="majorBidi" w:cstheme="majorBidi"/>
          <w:sz w:val="24"/>
          <w:szCs w:val="24"/>
          <w:lang w:bidi="ar-EG"/>
        </w:rPr>
      </w:pPr>
      <w:proofErr w:type="spellStart"/>
      <w:r w:rsidRPr="00E27EFF">
        <w:rPr>
          <w:rFonts w:asciiTheme="majorBidi" w:hAnsiTheme="majorBidi" w:cstheme="majorBidi"/>
          <w:b/>
          <w:bCs/>
          <w:sz w:val="24"/>
          <w:szCs w:val="24"/>
          <w:lang w:bidi="ar-EG"/>
        </w:rPr>
        <w:t>H.pylori</w:t>
      </w:r>
      <w:proofErr w:type="spellEnd"/>
      <w:r w:rsidRPr="00E27EFF">
        <w:rPr>
          <w:rFonts w:asciiTheme="majorBidi" w:hAnsiTheme="majorBidi" w:cstheme="majorBidi"/>
          <w:b/>
          <w:bCs/>
          <w:sz w:val="24"/>
          <w:szCs w:val="24"/>
          <w:lang w:bidi="ar-EG"/>
        </w:rPr>
        <w:t xml:space="preserve"> negative group:</w:t>
      </w:r>
      <w:r w:rsidRPr="00E27EFF">
        <w:rPr>
          <w:rFonts w:asciiTheme="majorBidi" w:hAnsiTheme="majorBidi" w:cstheme="majorBidi"/>
          <w:sz w:val="24"/>
          <w:szCs w:val="24"/>
          <w:lang w:bidi="ar-EG"/>
        </w:rPr>
        <w:t xml:space="preserve"> included 31 children (17 males and 14 females), their mean age was 9.6±4.2 years.</w:t>
      </w:r>
    </w:p>
    <w:p w:rsidR="00E27EFF" w:rsidRPr="00E27EFF" w:rsidRDefault="00E27EFF" w:rsidP="00E27EFF">
      <w:pPr>
        <w:numPr>
          <w:ilvl w:val="0"/>
          <w:numId w:val="1"/>
        </w:numPr>
        <w:bidi w:val="0"/>
        <w:spacing w:after="120" w:line="240" w:lineRule="auto"/>
        <w:rPr>
          <w:rFonts w:asciiTheme="majorBidi" w:hAnsiTheme="majorBidi" w:cstheme="majorBidi"/>
          <w:sz w:val="24"/>
          <w:szCs w:val="24"/>
          <w:lang w:bidi="ar-EG"/>
        </w:rPr>
      </w:pPr>
      <w:r w:rsidRPr="00E27EFF">
        <w:rPr>
          <w:rFonts w:asciiTheme="majorBidi" w:hAnsiTheme="majorBidi" w:cstheme="majorBidi"/>
          <w:b/>
          <w:bCs/>
          <w:sz w:val="24"/>
          <w:szCs w:val="24"/>
          <w:lang w:bidi="ar-EG"/>
        </w:rPr>
        <w:t>Control group:</w:t>
      </w:r>
      <w:r w:rsidRPr="00E27EFF">
        <w:rPr>
          <w:rFonts w:asciiTheme="majorBidi" w:hAnsiTheme="majorBidi" w:cstheme="majorBidi"/>
          <w:sz w:val="24"/>
          <w:szCs w:val="24"/>
          <w:lang w:bidi="ar-EG"/>
        </w:rPr>
        <w:t xml:space="preserve"> included 80 children (38 males </w:t>
      </w:r>
      <w:proofErr w:type="spellStart"/>
      <w:proofErr w:type="gramStart"/>
      <w:r w:rsidRPr="00E27EFF">
        <w:rPr>
          <w:rFonts w:asciiTheme="majorBidi" w:hAnsiTheme="majorBidi" w:cstheme="majorBidi"/>
          <w:sz w:val="24"/>
          <w:szCs w:val="24"/>
          <w:lang w:bidi="ar-EG"/>
        </w:rPr>
        <w:t>nad</w:t>
      </w:r>
      <w:proofErr w:type="spellEnd"/>
      <w:proofErr w:type="gramEnd"/>
      <w:r w:rsidRPr="00E27EFF">
        <w:rPr>
          <w:rFonts w:asciiTheme="majorBidi" w:hAnsiTheme="majorBidi" w:cstheme="majorBidi"/>
          <w:sz w:val="24"/>
          <w:szCs w:val="24"/>
          <w:lang w:bidi="ar-EG"/>
        </w:rPr>
        <w:t xml:space="preserve"> 42 females), their mean age was 10.6±4.1 years.</w:t>
      </w:r>
    </w:p>
    <w:p w:rsidR="00E27EFF" w:rsidRPr="00423138" w:rsidRDefault="00E27EFF" w:rsidP="00E27EFF">
      <w:pPr>
        <w:bidi w:val="0"/>
        <w:spacing w:after="120" w:line="240" w:lineRule="auto"/>
        <w:rPr>
          <w:rFonts w:asciiTheme="majorBidi" w:hAnsiTheme="majorBidi" w:cstheme="majorBidi"/>
          <w:b/>
          <w:bCs/>
          <w:sz w:val="24"/>
          <w:szCs w:val="24"/>
          <w:lang w:bidi="ar-EG"/>
        </w:rPr>
      </w:pPr>
      <w:r w:rsidRPr="00423138">
        <w:rPr>
          <w:rFonts w:asciiTheme="majorBidi" w:hAnsiTheme="majorBidi" w:cstheme="majorBidi"/>
          <w:b/>
          <w:bCs/>
          <w:sz w:val="24"/>
          <w:szCs w:val="24"/>
          <w:lang w:bidi="ar-EG"/>
        </w:rPr>
        <w:t>Ethical Consideration</w:t>
      </w:r>
    </w:p>
    <w:p w:rsidR="00E27EFF" w:rsidRPr="00423138" w:rsidRDefault="00E27EFF" w:rsidP="00423138">
      <w:pPr>
        <w:bidi w:val="0"/>
        <w:spacing w:after="120" w:line="240" w:lineRule="auto"/>
        <w:jc w:val="lowKashida"/>
        <w:rPr>
          <w:rFonts w:asciiTheme="majorBidi" w:hAnsiTheme="majorBidi" w:cstheme="majorBidi"/>
          <w:sz w:val="24"/>
          <w:szCs w:val="24"/>
          <w:lang w:bidi="ar-EG"/>
        </w:rPr>
      </w:pPr>
      <w:r w:rsidRPr="00E27EFF">
        <w:rPr>
          <w:rFonts w:asciiTheme="majorBidi" w:hAnsiTheme="majorBidi" w:cstheme="majorBidi"/>
          <w:sz w:val="24"/>
          <w:szCs w:val="24"/>
          <w:lang w:bidi="ar-EG"/>
        </w:rPr>
        <w:t xml:space="preserve">Approval of the study Protocol by the Ethical Scientific Committee of </w:t>
      </w:r>
      <w:proofErr w:type="spellStart"/>
      <w:r w:rsidRPr="00E27EFF">
        <w:rPr>
          <w:rFonts w:asciiTheme="majorBidi" w:hAnsiTheme="majorBidi" w:cstheme="majorBidi"/>
          <w:sz w:val="24"/>
          <w:szCs w:val="24"/>
          <w:lang w:bidi="ar-EG"/>
        </w:rPr>
        <w:t>Benha</w:t>
      </w:r>
      <w:proofErr w:type="spellEnd"/>
      <w:r w:rsidRPr="00E27EFF">
        <w:rPr>
          <w:rFonts w:asciiTheme="majorBidi" w:hAnsiTheme="majorBidi" w:cstheme="majorBidi"/>
          <w:sz w:val="24"/>
          <w:szCs w:val="24"/>
          <w:lang w:bidi="ar-EG"/>
        </w:rPr>
        <w:t xml:space="preserve"> </w:t>
      </w:r>
      <w:proofErr w:type="gramStart"/>
      <w:r w:rsidRPr="00E27EFF">
        <w:rPr>
          <w:rFonts w:asciiTheme="majorBidi" w:hAnsiTheme="majorBidi" w:cstheme="majorBidi"/>
          <w:sz w:val="24"/>
          <w:szCs w:val="24"/>
          <w:lang w:bidi="ar-EG"/>
        </w:rPr>
        <w:t>university</w:t>
      </w:r>
      <w:proofErr w:type="gramEnd"/>
      <w:r w:rsidRPr="00E27EFF">
        <w:rPr>
          <w:rFonts w:asciiTheme="majorBidi" w:hAnsiTheme="majorBidi" w:cstheme="majorBidi"/>
          <w:sz w:val="24"/>
          <w:szCs w:val="24"/>
          <w:lang w:bidi="ar-EG"/>
        </w:rPr>
        <w:t xml:space="preserve"> was obtained.</w:t>
      </w:r>
      <w:r w:rsidR="00423138">
        <w:rPr>
          <w:rFonts w:asciiTheme="majorBidi" w:hAnsiTheme="majorBidi" w:cstheme="majorBidi"/>
          <w:sz w:val="24"/>
          <w:szCs w:val="24"/>
          <w:lang w:bidi="ar-EG"/>
        </w:rPr>
        <w:t xml:space="preserve"> </w:t>
      </w:r>
      <w:r w:rsidRPr="00E27EFF">
        <w:rPr>
          <w:rFonts w:asciiTheme="majorBidi" w:hAnsiTheme="majorBidi" w:cstheme="majorBidi"/>
          <w:sz w:val="24"/>
          <w:szCs w:val="24"/>
          <w:lang w:bidi="ar-EG"/>
        </w:rPr>
        <w:t>Informed Consent was obtained from the Patients who were informed about all study procedures before enrollment in the study</w:t>
      </w:r>
    </w:p>
    <w:p w:rsidR="001D3FF6" w:rsidRPr="001D3FF6" w:rsidRDefault="001D3FF6" w:rsidP="00423138">
      <w:pPr>
        <w:bidi w:val="0"/>
        <w:spacing w:after="120" w:line="240" w:lineRule="auto"/>
        <w:jc w:val="lowKashida"/>
        <w:rPr>
          <w:rFonts w:asciiTheme="majorBidi" w:hAnsiTheme="majorBidi" w:cstheme="majorBidi"/>
          <w:sz w:val="24"/>
          <w:szCs w:val="24"/>
          <w:lang w:bidi="ar-EG"/>
        </w:rPr>
      </w:pPr>
      <w:r w:rsidRPr="001D3FF6">
        <w:rPr>
          <w:rFonts w:asciiTheme="majorBidi" w:hAnsiTheme="majorBidi" w:cstheme="majorBidi"/>
          <w:sz w:val="24"/>
          <w:szCs w:val="24"/>
          <w:lang w:bidi="ar-EG"/>
        </w:rPr>
        <w:t xml:space="preserve">All included patients were subjected to full history taking, complete clinical examination, abdominal ultrasound, laboratory assessment as complete blood count, ESR, stool analysis and culture, urine analysis and culture, </w:t>
      </w:r>
      <w:proofErr w:type="spellStart"/>
      <w:r w:rsidRPr="001D3FF6">
        <w:rPr>
          <w:rFonts w:asciiTheme="majorBidi" w:hAnsiTheme="majorBidi" w:cstheme="majorBidi"/>
          <w:sz w:val="24"/>
          <w:szCs w:val="24"/>
          <w:lang w:bidi="ar-EG"/>
        </w:rPr>
        <w:t>H.pylori</w:t>
      </w:r>
      <w:proofErr w:type="spellEnd"/>
      <w:r w:rsidRPr="001D3FF6">
        <w:rPr>
          <w:rFonts w:asciiTheme="majorBidi" w:hAnsiTheme="majorBidi" w:cstheme="majorBidi"/>
          <w:sz w:val="24"/>
          <w:szCs w:val="24"/>
          <w:lang w:bidi="ar-EG"/>
        </w:rPr>
        <w:t xml:space="preserve"> stool Ag test and </w:t>
      </w:r>
      <w:proofErr w:type="spellStart"/>
      <w:r w:rsidRPr="001D3FF6">
        <w:rPr>
          <w:rFonts w:asciiTheme="majorBidi" w:hAnsiTheme="majorBidi" w:cstheme="majorBidi"/>
          <w:sz w:val="24"/>
          <w:szCs w:val="24"/>
          <w:lang w:bidi="ar-EG"/>
        </w:rPr>
        <w:t>And</w:t>
      </w:r>
      <w:proofErr w:type="spellEnd"/>
      <w:r w:rsidRPr="001D3FF6">
        <w:rPr>
          <w:rFonts w:asciiTheme="majorBidi" w:hAnsiTheme="majorBidi" w:cstheme="majorBidi"/>
          <w:sz w:val="24"/>
          <w:szCs w:val="24"/>
          <w:lang w:bidi="ar-EG"/>
        </w:rPr>
        <w:t xml:space="preserve"> Upper GIT endoscopy and  histopathology of gastric and </w:t>
      </w:r>
      <w:proofErr w:type="spellStart"/>
      <w:r w:rsidRPr="001D3FF6">
        <w:rPr>
          <w:rFonts w:asciiTheme="majorBidi" w:hAnsiTheme="majorBidi" w:cstheme="majorBidi"/>
          <w:sz w:val="24"/>
          <w:szCs w:val="24"/>
          <w:lang w:bidi="ar-EG"/>
        </w:rPr>
        <w:t>doudenal</w:t>
      </w:r>
      <w:proofErr w:type="spellEnd"/>
      <w:r w:rsidRPr="001D3FF6">
        <w:rPr>
          <w:rFonts w:asciiTheme="majorBidi" w:hAnsiTheme="majorBidi" w:cstheme="majorBidi"/>
          <w:sz w:val="24"/>
          <w:szCs w:val="24"/>
          <w:lang w:bidi="ar-EG"/>
        </w:rPr>
        <w:t xml:space="preserve"> biopsies.</w:t>
      </w:r>
    </w:p>
    <w:p w:rsidR="00423138" w:rsidRPr="00423138" w:rsidRDefault="00423138" w:rsidP="00423138">
      <w:pPr>
        <w:bidi w:val="0"/>
        <w:spacing w:after="120" w:line="240" w:lineRule="auto"/>
        <w:jc w:val="lowKashida"/>
        <w:rPr>
          <w:rFonts w:asciiTheme="majorBidi" w:hAnsiTheme="majorBidi" w:cstheme="majorBidi"/>
          <w:sz w:val="24"/>
          <w:szCs w:val="24"/>
          <w:lang w:bidi="ar-EG"/>
        </w:rPr>
      </w:pPr>
      <w:r w:rsidRPr="00423138">
        <w:rPr>
          <w:rFonts w:asciiTheme="majorBidi" w:hAnsiTheme="majorBidi" w:cstheme="majorBidi"/>
          <w:sz w:val="24"/>
          <w:szCs w:val="24"/>
          <w:lang w:bidi="ar-EG"/>
        </w:rPr>
        <w:t>Gene expression was done by quantitative reverse transcription-polymerase chain reaction (</w:t>
      </w:r>
      <w:proofErr w:type="spellStart"/>
      <w:r w:rsidRPr="00423138">
        <w:rPr>
          <w:rFonts w:asciiTheme="majorBidi" w:hAnsiTheme="majorBidi" w:cstheme="majorBidi"/>
          <w:sz w:val="24"/>
          <w:szCs w:val="24"/>
          <w:lang w:bidi="ar-EG"/>
        </w:rPr>
        <w:t>qRT</w:t>
      </w:r>
      <w:proofErr w:type="spellEnd"/>
      <w:r w:rsidRPr="00423138">
        <w:rPr>
          <w:rFonts w:asciiTheme="majorBidi" w:hAnsiTheme="majorBidi" w:cstheme="majorBidi"/>
          <w:sz w:val="24"/>
          <w:szCs w:val="24"/>
          <w:lang w:bidi="ar-EG"/>
        </w:rPr>
        <w:t xml:space="preserve">-PCR). </w:t>
      </w:r>
    </w:p>
    <w:p w:rsidR="00423138" w:rsidRPr="00423138" w:rsidRDefault="00423138" w:rsidP="00423138">
      <w:pPr>
        <w:bidi w:val="0"/>
        <w:spacing w:after="120" w:line="240" w:lineRule="auto"/>
        <w:jc w:val="lowKashida"/>
        <w:rPr>
          <w:rFonts w:asciiTheme="majorBidi" w:hAnsiTheme="majorBidi" w:cstheme="majorBidi"/>
          <w:b/>
          <w:bCs/>
          <w:sz w:val="24"/>
          <w:szCs w:val="24"/>
          <w:lang w:bidi="ar-EG"/>
        </w:rPr>
      </w:pPr>
      <w:r w:rsidRPr="00423138">
        <w:rPr>
          <w:rFonts w:asciiTheme="majorBidi" w:hAnsiTheme="majorBidi" w:cstheme="majorBidi"/>
          <w:b/>
          <w:bCs/>
          <w:sz w:val="24"/>
          <w:szCs w:val="24"/>
          <w:lang w:bidi="ar-EG"/>
        </w:rPr>
        <w:t xml:space="preserve">Sampling </w:t>
      </w:r>
    </w:p>
    <w:p w:rsidR="00423138" w:rsidRPr="00423138" w:rsidRDefault="00423138" w:rsidP="00423138">
      <w:pPr>
        <w:bidi w:val="0"/>
        <w:spacing w:after="120" w:line="240" w:lineRule="auto"/>
        <w:jc w:val="lowKashida"/>
        <w:rPr>
          <w:rFonts w:asciiTheme="majorBidi" w:hAnsiTheme="majorBidi" w:cstheme="majorBidi"/>
          <w:sz w:val="24"/>
          <w:szCs w:val="24"/>
          <w:lang w:bidi="ar-EG"/>
        </w:rPr>
      </w:pPr>
      <w:r w:rsidRPr="00423138">
        <w:rPr>
          <w:rFonts w:asciiTheme="majorBidi" w:hAnsiTheme="majorBidi" w:cstheme="majorBidi"/>
          <w:sz w:val="24"/>
          <w:szCs w:val="24"/>
          <w:lang w:bidi="ar-EG"/>
        </w:rPr>
        <w:t xml:space="preserve">Paraffin-embedded biopsies were sectioned into 10-μm-thick slices, two of which were deposited into 1.5-ml </w:t>
      </w:r>
      <w:proofErr w:type="spellStart"/>
      <w:r w:rsidRPr="00423138">
        <w:rPr>
          <w:rFonts w:asciiTheme="majorBidi" w:hAnsiTheme="majorBidi" w:cstheme="majorBidi"/>
          <w:sz w:val="24"/>
          <w:szCs w:val="24"/>
          <w:lang w:bidi="ar-EG"/>
        </w:rPr>
        <w:t>microcentrifuge</w:t>
      </w:r>
      <w:proofErr w:type="spellEnd"/>
      <w:r w:rsidRPr="00423138">
        <w:rPr>
          <w:rFonts w:asciiTheme="majorBidi" w:hAnsiTheme="majorBidi" w:cstheme="majorBidi"/>
          <w:sz w:val="24"/>
          <w:szCs w:val="24"/>
          <w:lang w:bidi="ar-EG"/>
        </w:rPr>
        <w:t xml:space="preserve"> tubes and dewaxed via immersion in xylene at 50 °C, followed by absolute and 96% ethanol. </w:t>
      </w:r>
    </w:p>
    <w:p w:rsidR="00D83556" w:rsidRPr="00D83556" w:rsidRDefault="00423138" w:rsidP="00D83556">
      <w:pPr>
        <w:bidi w:val="0"/>
        <w:spacing w:after="120" w:line="240" w:lineRule="auto"/>
        <w:jc w:val="lowKashida"/>
        <w:rPr>
          <w:rFonts w:asciiTheme="majorBidi" w:hAnsiTheme="majorBidi" w:cstheme="majorBidi"/>
          <w:b/>
          <w:bCs/>
          <w:sz w:val="24"/>
          <w:szCs w:val="24"/>
          <w:lang w:bidi="ar-EG"/>
        </w:rPr>
      </w:pPr>
      <w:r w:rsidRPr="00423138">
        <w:rPr>
          <w:rFonts w:asciiTheme="majorBidi" w:hAnsiTheme="majorBidi" w:cstheme="majorBidi"/>
          <w:sz w:val="24"/>
          <w:szCs w:val="24"/>
          <w:lang w:bidi="ar-EG"/>
        </w:rPr>
        <w:t xml:space="preserve">Extraction of total RNA (including miRNA) was performed using the </w:t>
      </w:r>
      <w:proofErr w:type="spellStart"/>
      <w:r w:rsidRPr="00423138">
        <w:rPr>
          <w:rFonts w:asciiTheme="majorBidi" w:hAnsiTheme="majorBidi" w:cstheme="majorBidi"/>
          <w:sz w:val="24"/>
          <w:szCs w:val="24"/>
          <w:lang w:bidi="ar-EG"/>
        </w:rPr>
        <w:t>Qiagen</w:t>
      </w:r>
      <w:proofErr w:type="spellEnd"/>
      <w:r w:rsidRPr="00423138">
        <w:rPr>
          <w:rFonts w:asciiTheme="majorBidi" w:hAnsiTheme="majorBidi" w:cstheme="majorBidi"/>
          <w:sz w:val="24"/>
          <w:szCs w:val="24"/>
          <w:lang w:bidi="ar-EG"/>
        </w:rPr>
        <w:t xml:space="preserve"> </w:t>
      </w:r>
      <w:proofErr w:type="spellStart"/>
      <w:r w:rsidRPr="00423138">
        <w:rPr>
          <w:rFonts w:asciiTheme="majorBidi" w:hAnsiTheme="majorBidi" w:cstheme="majorBidi"/>
          <w:sz w:val="24"/>
          <w:szCs w:val="24"/>
          <w:lang w:bidi="ar-EG"/>
        </w:rPr>
        <w:t>RNeasyPlus</w:t>
      </w:r>
      <w:proofErr w:type="spellEnd"/>
      <w:r w:rsidRPr="00423138">
        <w:rPr>
          <w:rFonts w:asciiTheme="majorBidi" w:hAnsiTheme="majorBidi" w:cstheme="majorBidi"/>
          <w:sz w:val="24"/>
          <w:szCs w:val="24"/>
          <w:lang w:bidi="ar-EG"/>
        </w:rPr>
        <w:t xml:space="preserve"> Universal Mini Kit (</w:t>
      </w:r>
      <w:proofErr w:type="spellStart"/>
      <w:r w:rsidRPr="00423138">
        <w:rPr>
          <w:rFonts w:asciiTheme="majorBidi" w:hAnsiTheme="majorBidi" w:cstheme="majorBidi"/>
          <w:sz w:val="24"/>
          <w:szCs w:val="24"/>
          <w:lang w:bidi="ar-EG"/>
        </w:rPr>
        <w:t>Qiagen</w:t>
      </w:r>
      <w:proofErr w:type="spellEnd"/>
      <w:r w:rsidRPr="00423138">
        <w:rPr>
          <w:rFonts w:asciiTheme="majorBidi" w:hAnsiTheme="majorBidi" w:cstheme="majorBidi"/>
          <w:sz w:val="24"/>
          <w:szCs w:val="24"/>
          <w:lang w:bidi="ar-EG"/>
        </w:rPr>
        <w:t xml:space="preserve">, Hilden, Germany) according to manufacturer’s protocol. Briefly, the samples were homogenized in </w:t>
      </w:r>
      <w:proofErr w:type="spellStart"/>
      <w:r w:rsidRPr="00423138">
        <w:rPr>
          <w:rFonts w:asciiTheme="majorBidi" w:hAnsiTheme="majorBidi" w:cstheme="majorBidi"/>
          <w:sz w:val="24"/>
          <w:szCs w:val="24"/>
          <w:lang w:bidi="ar-EG"/>
        </w:rPr>
        <w:t>QIAzol</w:t>
      </w:r>
      <w:proofErr w:type="spellEnd"/>
      <w:r w:rsidRPr="00423138">
        <w:rPr>
          <w:rFonts w:asciiTheme="majorBidi" w:hAnsiTheme="majorBidi" w:cstheme="majorBidi"/>
          <w:sz w:val="24"/>
          <w:szCs w:val="24"/>
          <w:lang w:bidi="ar-EG"/>
        </w:rPr>
        <w:t xml:space="preserve"> Lysis Reagent using </w:t>
      </w:r>
      <w:proofErr w:type="spellStart"/>
      <w:r w:rsidRPr="00423138">
        <w:rPr>
          <w:rFonts w:asciiTheme="majorBidi" w:hAnsiTheme="majorBidi" w:cstheme="majorBidi"/>
          <w:sz w:val="24"/>
          <w:szCs w:val="24"/>
          <w:lang w:bidi="ar-EG"/>
        </w:rPr>
        <w:t>TissueRuptor</w:t>
      </w:r>
      <w:proofErr w:type="spellEnd"/>
      <w:r w:rsidRPr="00423138">
        <w:rPr>
          <w:rFonts w:asciiTheme="majorBidi" w:hAnsiTheme="majorBidi" w:cstheme="majorBidi"/>
          <w:sz w:val="24"/>
          <w:szCs w:val="24"/>
          <w:lang w:bidi="ar-EG"/>
        </w:rPr>
        <w:t xml:space="preserve">. RNA was further precipitated with chloroform, mixed with 1.5 volumes of 100% of Ethanol and following precipitation and washing steps eluted in RNase-free water. The concentration of extracted RNA was assessed using UV-spectrophotometry. MiRNA expression was quantitatively evaluated using either the </w:t>
      </w:r>
      <w:proofErr w:type="spellStart"/>
      <w:r w:rsidRPr="00423138">
        <w:rPr>
          <w:rFonts w:asciiTheme="majorBidi" w:hAnsiTheme="majorBidi" w:cstheme="majorBidi"/>
          <w:sz w:val="24"/>
          <w:szCs w:val="24"/>
          <w:lang w:bidi="ar-EG"/>
        </w:rPr>
        <w:t>TaqMan</w:t>
      </w:r>
      <w:proofErr w:type="spellEnd"/>
      <w:r w:rsidRPr="00423138">
        <w:rPr>
          <w:rFonts w:asciiTheme="majorBidi" w:hAnsiTheme="majorBidi" w:cstheme="majorBidi"/>
          <w:sz w:val="24"/>
          <w:szCs w:val="24"/>
          <w:lang w:bidi="ar-EG"/>
        </w:rPr>
        <w:t xml:space="preserve"> miRNA assay (Applied </w:t>
      </w:r>
      <w:proofErr w:type="spellStart"/>
      <w:r w:rsidRPr="00423138">
        <w:rPr>
          <w:rFonts w:asciiTheme="majorBidi" w:hAnsiTheme="majorBidi" w:cstheme="majorBidi"/>
          <w:sz w:val="24"/>
          <w:szCs w:val="24"/>
          <w:lang w:bidi="ar-EG"/>
        </w:rPr>
        <w:t>Biosystems</w:t>
      </w:r>
      <w:proofErr w:type="spellEnd"/>
      <w:r w:rsidRPr="00423138">
        <w:rPr>
          <w:rFonts w:asciiTheme="majorBidi" w:hAnsiTheme="majorBidi" w:cstheme="majorBidi"/>
          <w:sz w:val="24"/>
          <w:szCs w:val="24"/>
          <w:lang w:bidi="ar-EG"/>
        </w:rPr>
        <w:t xml:space="preserve">, CA, USA) or SYBR Green (RNU6b) method. Approximately 20 ng of total RNA were reverse transcribed and quantitative real-time PCR analysis was subsequently carried out using the </w:t>
      </w:r>
      <w:proofErr w:type="spellStart"/>
      <w:r w:rsidRPr="00423138">
        <w:rPr>
          <w:rFonts w:asciiTheme="majorBidi" w:hAnsiTheme="majorBidi" w:cstheme="majorBidi"/>
          <w:sz w:val="24"/>
          <w:szCs w:val="24"/>
          <w:lang w:bidi="ar-EG"/>
        </w:rPr>
        <w:t>TaqMan</w:t>
      </w:r>
      <w:proofErr w:type="spellEnd"/>
      <w:r w:rsidRPr="00423138">
        <w:rPr>
          <w:rFonts w:asciiTheme="majorBidi" w:hAnsiTheme="majorBidi" w:cstheme="majorBidi"/>
          <w:sz w:val="24"/>
          <w:szCs w:val="24"/>
          <w:lang w:bidi="ar-EG"/>
        </w:rPr>
        <w:t xml:space="preserve"> Universal PCR Master Mix II (Applied </w:t>
      </w:r>
      <w:proofErr w:type="spellStart"/>
      <w:r w:rsidRPr="00423138">
        <w:rPr>
          <w:rFonts w:asciiTheme="majorBidi" w:hAnsiTheme="majorBidi" w:cstheme="majorBidi"/>
          <w:sz w:val="24"/>
          <w:szCs w:val="24"/>
          <w:lang w:bidi="ar-EG"/>
        </w:rPr>
        <w:t>Biosystems</w:t>
      </w:r>
      <w:proofErr w:type="spellEnd"/>
      <w:r w:rsidRPr="00423138">
        <w:rPr>
          <w:rFonts w:asciiTheme="majorBidi" w:hAnsiTheme="majorBidi" w:cstheme="majorBidi"/>
          <w:sz w:val="24"/>
          <w:szCs w:val="24"/>
          <w:lang w:bidi="ar-EG"/>
        </w:rPr>
        <w:t>) or Power SYBR Green PCR-</w:t>
      </w:r>
      <w:proofErr w:type="spellStart"/>
      <w:r w:rsidRPr="00423138">
        <w:rPr>
          <w:rFonts w:asciiTheme="majorBidi" w:hAnsiTheme="majorBidi" w:cstheme="majorBidi"/>
          <w:sz w:val="24"/>
          <w:szCs w:val="24"/>
          <w:lang w:bidi="ar-EG"/>
        </w:rPr>
        <w:t>MasterMix</w:t>
      </w:r>
      <w:proofErr w:type="spellEnd"/>
      <w:r w:rsidRPr="00423138">
        <w:rPr>
          <w:rFonts w:asciiTheme="majorBidi" w:hAnsiTheme="majorBidi" w:cstheme="majorBidi"/>
          <w:sz w:val="24"/>
          <w:szCs w:val="24"/>
          <w:lang w:bidi="ar-EG"/>
        </w:rPr>
        <w:t xml:space="preserve"> (Applied </w:t>
      </w:r>
      <w:proofErr w:type="spellStart"/>
      <w:r w:rsidRPr="00423138">
        <w:rPr>
          <w:rFonts w:asciiTheme="majorBidi" w:hAnsiTheme="majorBidi" w:cstheme="majorBidi"/>
          <w:sz w:val="24"/>
          <w:szCs w:val="24"/>
          <w:lang w:bidi="ar-EG"/>
        </w:rPr>
        <w:t>Biosystems</w:t>
      </w:r>
      <w:proofErr w:type="spellEnd"/>
      <w:r w:rsidRPr="00423138">
        <w:rPr>
          <w:rFonts w:asciiTheme="majorBidi" w:hAnsiTheme="majorBidi" w:cstheme="majorBidi"/>
          <w:sz w:val="24"/>
          <w:szCs w:val="24"/>
          <w:lang w:bidi="ar-EG"/>
        </w:rPr>
        <w:t>). U6 snRNA was used as endogenous control for normalization. Sequences of mature miRNAs and endogenous control were identified us</w:t>
      </w:r>
      <w:r>
        <w:rPr>
          <w:rFonts w:asciiTheme="majorBidi" w:hAnsiTheme="majorBidi" w:cstheme="majorBidi"/>
          <w:sz w:val="24"/>
          <w:szCs w:val="24"/>
          <w:lang w:bidi="ar-EG"/>
        </w:rPr>
        <w:t xml:space="preserve">ing the </w:t>
      </w:r>
      <w:proofErr w:type="spellStart"/>
      <w:r>
        <w:rPr>
          <w:rFonts w:asciiTheme="majorBidi" w:hAnsiTheme="majorBidi" w:cstheme="majorBidi"/>
          <w:sz w:val="24"/>
          <w:szCs w:val="24"/>
          <w:lang w:bidi="ar-EG"/>
        </w:rPr>
        <w:t>miRbase</w:t>
      </w:r>
      <w:proofErr w:type="spellEnd"/>
      <w:r>
        <w:rPr>
          <w:rFonts w:asciiTheme="majorBidi" w:hAnsiTheme="majorBidi" w:cstheme="majorBidi"/>
          <w:sz w:val="24"/>
          <w:szCs w:val="24"/>
          <w:lang w:bidi="ar-EG"/>
        </w:rPr>
        <w:t>.</w:t>
      </w:r>
      <w:r w:rsidR="00D83556" w:rsidRPr="00D83556">
        <w:rPr>
          <w:rFonts w:asciiTheme="majorBidi" w:hAnsiTheme="majorBidi" w:cstheme="majorBidi"/>
          <w:b/>
          <w:bCs/>
          <w:sz w:val="24"/>
          <w:szCs w:val="24"/>
          <w:lang w:bidi="ar-EG"/>
        </w:rPr>
        <w:t xml:space="preserve"> </w:t>
      </w:r>
      <w:r w:rsidR="00D83556" w:rsidRPr="00D83556">
        <w:rPr>
          <w:rFonts w:asciiTheme="majorBidi" w:hAnsiTheme="majorBidi" w:cstheme="majorBidi"/>
          <w:b/>
          <w:bCs/>
          <w:sz w:val="24"/>
          <w:szCs w:val="24"/>
          <w:lang w:bidi="ar-EG"/>
        </w:rPr>
        <w:fldChar w:fldCharType="begin" w:fldLock="1"/>
      </w:r>
      <w:r w:rsidR="00D83556" w:rsidRPr="00D83556">
        <w:rPr>
          <w:rFonts w:asciiTheme="majorBidi" w:hAnsiTheme="majorBidi" w:cstheme="majorBidi"/>
          <w:b/>
          <w:bCs/>
          <w:sz w:val="24"/>
          <w:szCs w:val="24"/>
          <w:lang w:bidi="ar-EG"/>
        </w:rPr>
        <w:instrText>ADDIN CSL_CITATION {"citationItems":[{"id":"ITEM-1","itemData":{"author":[{"dropping-particle":"","family":"Li","given":"Xuejun","non-dropping-particle":"","parse-names":false,"suffix":""},{"dropping-particle":"","family":"Wang","given":"Liping","non-dropping-particle":"","parse-names":false,"suffix":""},{"dropping-particle":"","family":"Li","given":"Gang","non-dropping-particle":"","parse-names":false,"suffix":""},{"dropping-particle":"","family":"Zheng","given":"Xingfeng","non-dropping-particle":"","parse-names":false,"suffix":""},{"dropping-particle":"","family":"Duan","given":"Chonghao","non-dropping-particle":"","parse-names":false,"suffix":""}],"container-title":"Int J Clin Exp Med","id":"ITEM-1","issue":"5","issued":{"date-parts":[["2016"]]},"page":"7928-7936","title":"Expression of miR-204 and MMP-9 in Helicobacter pylori-associated gastric ulcer","type":"article-journal","volume":"9"},"uris":["http://www.mendeley.com/documents/?uuid=5f988034-cbf3-49ba-a96f-0f8b7ed2cbd4"]},{"id":"ITEM-2","itemData":{"author":[{"dropping-particle":"","family":"Mahboobi","given":"Ramina","non-dropping-particle":"","parse-names":false,"suffix":""},{"dropping-particle":"","family":"Fallah","given":"Fatemeh","non-dropping-particle":"","parse-names":false,"suffix":""},{"dropping-particle":"","family":"Yadegar","given":"Abbas","non-dropping-particle":"","parse-names":false,"suffix":""},{"dropping-particle":"","family":"Dara","given":"Naghi","non-dropping-particle":"","parse-names":false,"suffix":""},{"dropping-particle":"","family":"Aghdam","given":"Maryam Kazemi","non-dropping-particle":"","parse-names":false,"suffix":""},{"dropping-particle":"","family":"Asgari","given":"Behnoush","non-dropping-particle":"","parse-names":false,"suffix":""},{"dropping-particle":"","family":"Hakemi-Vala","given":"Mojdeh","non-dropping-particle":"","parse-names":false,"suffix":""}],"container-title":"Iranian Journal of Microbiology","id":"ITEM-2","issue":"4","issued":{"date-parts":[["2022"]]},"page":"495","publisher":"Tehran University of Medical Sciences","title":"Expression analysis of miRNA-155 level in Helicobacter pylori related inflammation and chronic gastritis","type":"article-journal","volume":"14"},"uris":["http://www.mendeley.com/documents/?uuid=bee53c99-3187-43e6-a0ce-1aaf5f789be7"]}],"mendeley":{"formattedCitation":"(9,10)","plainTextFormattedCitation":"(9,10)","previouslyFormattedCitation":"(9,10)"},"properties":{"noteIndex":0},"schema":"https://github.com/citation-style-language/schema/raw/master/csl-citation.json"}</w:instrText>
      </w:r>
      <w:r w:rsidR="00D83556" w:rsidRPr="00D83556">
        <w:rPr>
          <w:rFonts w:asciiTheme="majorBidi" w:hAnsiTheme="majorBidi" w:cstheme="majorBidi"/>
          <w:b/>
          <w:bCs/>
          <w:sz w:val="24"/>
          <w:szCs w:val="24"/>
          <w:lang w:bidi="ar-EG"/>
        </w:rPr>
        <w:fldChar w:fldCharType="separate"/>
      </w:r>
      <w:r w:rsidR="00D83556" w:rsidRPr="00D83556">
        <w:rPr>
          <w:rFonts w:asciiTheme="majorBidi" w:hAnsiTheme="majorBidi" w:cstheme="majorBidi"/>
          <w:bCs/>
          <w:noProof/>
          <w:sz w:val="24"/>
          <w:szCs w:val="24"/>
          <w:lang w:bidi="ar-EG"/>
        </w:rPr>
        <w:t>(9,10)</w:t>
      </w:r>
      <w:r w:rsidR="00D83556" w:rsidRPr="00D83556">
        <w:rPr>
          <w:rFonts w:asciiTheme="majorBidi" w:hAnsiTheme="majorBidi" w:cstheme="majorBidi"/>
          <w:sz w:val="24"/>
          <w:szCs w:val="24"/>
          <w:lang w:bidi="ar-EG"/>
        </w:rPr>
        <w:fldChar w:fldCharType="end"/>
      </w:r>
    </w:p>
    <w:tbl>
      <w:tblPr>
        <w:tblW w:w="5000" w:type="pct"/>
        <w:shd w:val="clear" w:color="auto" w:fill="FCFCFC"/>
        <w:tblLayout w:type="fixed"/>
        <w:tblCellMar>
          <w:top w:w="15" w:type="dxa"/>
          <w:left w:w="15" w:type="dxa"/>
          <w:bottom w:w="15" w:type="dxa"/>
          <w:right w:w="15" w:type="dxa"/>
        </w:tblCellMar>
        <w:tblLook w:val="04A0" w:firstRow="1" w:lastRow="0" w:firstColumn="1" w:lastColumn="0" w:noHBand="0" w:noVBand="1"/>
      </w:tblPr>
      <w:tblGrid>
        <w:gridCol w:w="1555"/>
        <w:gridCol w:w="6751"/>
      </w:tblGrid>
      <w:tr w:rsidR="00423138" w:rsidRPr="00423138" w:rsidTr="00DC0587">
        <w:tc>
          <w:tcPr>
            <w:tcW w:w="936" w:type="pct"/>
            <w:shd w:val="clear" w:color="auto" w:fill="FCFCFC"/>
            <w:tcMar>
              <w:top w:w="90" w:type="dxa"/>
              <w:left w:w="90" w:type="dxa"/>
              <w:bottom w:w="90" w:type="dxa"/>
              <w:right w:w="90" w:type="dxa"/>
            </w:tcMar>
            <w:hideMark/>
          </w:tcPr>
          <w:p w:rsidR="00423138" w:rsidRPr="00423138" w:rsidRDefault="00423138" w:rsidP="00423138">
            <w:pPr>
              <w:bidi w:val="0"/>
              <w:spacing w:after="120" w:line="240" w:lineRule="auto"/>
              <w:rPr>
                <w:rFonts w:asciiTheme="majorBidi" w:hAnsiTheme="majorBidi" w:cstheme="majorBidi"/>
                <w:b/>
                <w:bCs/>
                <w:sz w:val="24"/>
                <w:szCs w:val="24"/>
                <w:lang w:bidi="ar-EG"/>
              </w:rPr>
            </w:pPr>
            <w:r w:rsidRPr="00423138">
              <w:rPr>
                <w:rFonts w:asciiTheme="majorBidi" w:hAnsiTheme="majorBidi" w:cstheme="majorBidi"/>
                <w:b/>
                <w:bCs/>
                <w:sz w:val="24"/>
                <w:szCs w:val="24"/>
                <w:lang w:bidi="ar-EG"/>
              </w:rPr>
              <w:lastRenderedPageBreak/>
              <w:t>U6snRNA</w:t>
            </w:r>
          </w:p>
        </w:tc>
        <w:tc>
          <w:tcPr>
            <w:tcW w:w="4064" w:type="pct"/>
            <w:shd w:val="clear" w:color="auto" w:fill="FCFCFC"/>
            <w:tcMar>
              <w:top w:w="90" w:type="dxa"/>
              <w:left w:w="90" w:type="dxa"/>
              <w:bottom w:w="90" w:type="dxa"/>
              <w:right w:w="90" w:type="dxa"/>
            </w:tcMar>
            <w:hideMark/>
          </w:tcPr>
          <w:p w:rsidR="00423138" w:rsidRPr="00423138" w:rsidRDefault="00423138" w:rsidP="00423138">
            <w:pPr>
              <w:bidi w:val="0"/>
              <w:spacing w:after="120" w:line="240" w:lineRule="auto"/>
              <w:rPr>
                <w:rFonts w:asciiTheme="majorBidi" w:hAnsiTheme="majorBidi" w:cstheme="majorBidi"/>
                <w:sz w:val="24"/>
                <w:szCs w:val="24"/>
                <w:lang w:bidi="ar-EG"/>
              </w:rPr>
            </w:pPr>
            <w:r w:rsidRPr="00423138">
              <w:rPr>
                <w:rFonts w:asciiTheme="majorBidi" w:hAnsiTheme="majorBidi" w:cstheme="majorBidi"/>
                <w:sz w:val="24"/>
                <w:szCs w:val="24"/>
                <w:lang w:bidi="ar-EG"/>
              </w:rPr>
              <w:t>GTGCTCGCTTCGGCAGCACATATACTAAAATTGGAACGATACAGAGAAGATTAGCATGGCCCCTGCGCAAGGATGACACGCAAATTCGTGAAGCGTTCCATATTTT</w:t>
            </w:r>
          </w:p>
        </w:tc>
      </w:tr>
      <w:tr w:rsidR="00423138" w:rsidRPr="00423138" w:rsidTr="00DC0587">
        <w:tc>
          <w:tcPr>
            <w:tcW w:w="936" w:type="pct"/>
            <w:shd w:val="clear" w:color="auto" w:fill="FCFCFC"/>
            <w:tcMar>
              <w:top w:w="90" w:type="dxa"/>
              <w:left w:w="90" w:type="dxa"/>
              <w:bottom w:w="90" w:type="dxa"/>
              <w:right w:w="90" w:type="dxa"/>
            </w:tcMar>
          </w:tcPr>
          <w:p w:rsidR="00423138" w:rsidRPr="00423138" w:rsidRDefault="00423138" w:rsidP="00423138">
            <w:pPr>
              <w:bidi w:val="0"/>
              <w:spacing w:after="120" w:line="240" w:lineRule="auto"/>
              <w:rPr>
                <w:rFonts w:asciiTheme="majorBidi" w:hAnsiTheme="majorBidi" w:cstheme="majorBidi"/>
                <w:b/>
                <w:bCs/>
                <w:sz w:val="24"/>
                <w:szCs w:val="24"/>
                <w:lang w:bidi="ar-EG"/>
              </w:rPr>
            </w:pPr>
            <w:r w:rsidRPr="00423138">
              <w:rPr>
                <w:rFonts w:asciiTheme="majorBidi" w:hAnsiTheme="majorBidi" w:cstheme="majorBidi"/>
                <w:b/>
                <w:bCs/>
                <w:sz w:val="24"/>
                <w:szCs w:val="24"/>
                <w:lang w:bidi="ar-EG"/>
              </w:rPr>
              <w:t>mRNA 155</w:t>
            </w:r>
          </w:p>
        </w:tc>
        <w:tc>
          <w:tcPr>
            <w:tcW w:w="4064" w:type="pct"/>
            <w:shd w:val="clear" w:color="auto" w:fill="FCFCFC"/>
            <w:tcMar>
              <w:top w:w="90" w:type="dxa"/>
              <w:left w:w="90" w:type="dxa"/>
              <w:bottom w:w="90" w:type="dxa"/>
              <w:right w:w="90" w:type="dxa"/>
            </w:tcMar>
          </w:tcPr>
          <w:p w:rsidR="00423138" w:rsidRPr="00423138" w:rsidRDefault="00423138" w:rsidP="00423138">
            <w:pPr>
              <w:bidi w:val="0"/>
              <w:spacing w:after="120" w:line="240" w:lineRule="auto"/>
              <w:rPr>
                <w:rFonts w:asciiTheme="majorBidi" w:hAnsiTheme="majorBidi" w:cstheme="majorBidi"/>
                <w:sz w:val="24"/>
                <w:szCs w:val="24"/>
                <w:lang w:bidi="ar-EG"/>
              </w:rPr>
            </w:pPr>
            <w:r w:rsidRPr="00423138">
              <w:rPr>
                <w:rFonts w:asciiTheme="majorBidi" w:hAnsiTheme="majorBidi" w:cstheme="majorBidi"/>
                <w:sz w:val="24"/>
                <w:szCs w:val="24"/>
                <w:lang w:bidi="ar-EG"/>
              </w:rPr>
              <w:t>5’-ACACTCCATCTGGGTTAATGCTAATCGTG-3’</w:t>
            </w:r>
          </w:p>
        </w:tc>
      </w:tr>
      <w:tr w:rsidR="00423138" w:rsidRPr="00423138" w:rsidTr="00DC0587">
        <w:tc>
          <w:tcPr>
            <w:tcW w:w="936" w:type="pct"/>
            <w:shd w:val="clear" w:color="auto" w:fill="FCFCFC"/>
            <w:tcMar>
              <w:top w:w="90" w:type="dxa"/>
              <w:left w:w="90" w:type="dxa"/>
              <w:bottom w:w="90" w:type="dxa"/>
              <w:right w:w="90" w:type="dxa"/>
            </w:tcMar>
          </w:tcPr>
          <w:p w:rsidR="00423138" w:rsidRPr="00423138" w:rsidRDefault="00423138" w:rsidP="00423138">
            <w:pPr>
              <w:bidi w:val="0"/>
              <w:spacing w:after="120" w:line="240" w:lineRule="auto"/>
              <w:rPr>
                <w:rFonts w:asciiTheme="majorBidi" w:hAnsiTheme="majorBidi" w:cstheme="majorBidi"/>
                <w:b/>
                <w:bCs/>
                <w:sz w:val="24"/>
                <w:szCs w:val="24"/>
                <w:lang w:bidi="ar-EG"/>
              </w:rPr>
            </w:pPr>
            <w:r w:rsidRPr="00423138">
              <w:rPr>
                <w:rFonts w:asciiTheme="majorBidi" w:hAnsiTheme="majorBidi" w:cstheme="majorBidi"/>
                <w:b/>
                <w:bCs/>
                <w:sz w:val="24"/>
                <w:szCs w:val="24"/>
                <w:lang w:bidi="ar-EG"/>
              </w:rPr>
              <w:t>mRNA 204</w:t>
            </w:r>
          </w:p>
        </w:tc>
        <w:tc>
          <w:tcPr>
            <w:tcW w:w="4064" w:type="pct"/>
            <w:shd w:val="clear" w:color="auto" w:fill="FCFCFC"/>
            <w:tcMar>
              <w:top w:w="90" w:type="dxa"/>
              <w:left w:w="90" w:type="dxa"/>
              <w:bottom w:w="90" w:type="dxa"/>
              <w:right w:w="90" w:type="dxa"/>
            </w:tcMar>
          </w:tcPr>
          <w:p w:rsidR="00423138" w:rsidRPr="00423138" w:rsidRDefault="00423138" w:rsidP="00423138">
            <w:pPr>
              <w:bidi w:val="0"/>
              <w:spacing w:after="120" w:line="240" w:lineRule="auto"/>
              <w:rPr>
                <w:rFonts w:asciiTheme="majorBidi" w:hAnsiTheme="majorBidi" w:cstheme="majorBidi"/>
                <w:sz w:val="24"/>
                <w:szCs w:val="24"/>
                <w:lang w:bidi="ar-EG"/>
              </w:rPr>
            </w:pPr>
            <w:r w:rsidRPr="00423138">
              <w:rPr>
                <w:rFonts w:asciiTheme="majorBidi" w:hAnsiTheme="majorBidi" w:cstheme="majorBidi"/>
                <w:sz w:val="24"/>
                <w:szCs w:val="24"/>
                <w:lang w:bidi="ar-EG"/>
              </w:rPr>
              <w:t>5’-ACACTCCAGCTGGGTTCCCTTTGTCATCCTAT-3’</w:t>
            </w:r>
          </w:p>
        </w:tc>
      </w:tr>
    </w:tbl>
    <w:p w:rsidR="00423138" w:rsidRPr="00423138" w:rsidRDefault="00423138" w:rsidP="00423138">
      <w:pPr>
        <w:bidi w:val="0"/>
        <w:spacing w:after="120" w:line="240" w:lineRule="auto"/>
        <w:jc w:val="lowKashida"/>
        <w:rPr>
          <w:rFonts w:asciiTheme="majorBidi" w:hAnsiTheme="majorBidi" w:cstheme="majorBidi"/>
          <w:sz w:val="24"/>
          <w:szCs w:val="24"/>
          <w:lang w:bidi="ar-EG"/>
        </w:rPr>
      </w:pPr>
      <w:r w:rsidRPr="00423138">
        <w:rPr>
          <w:rFonts w:asciiTheme="majorBidi" w:hAnsiTheme="majorBidi" w:cstheme="majorBidi"/>
          <w:sz w:val="24"/>
          <w:szCs w:val="24"/>
          <w:lang w:bidi="ar-EG"/>
        </w:rPr>
        <w:t xml:space="preserve">RNA was reverse-transcribed into cDNA using the </w:t>
      </w:r>
      <w:proofErr w:type="spellStart"/>
      <w:r w:rsidRPr="00423138">
        <w:rPr>
          <w:rFonts w:asciiTheme="majorBidi" w:hAnsiTheme="majorBidi" w:cstheme="majorBidi"/>
          <w:sz w:val="24"/>
          <w:szCs w:val="24"/>
          <w:lang w:bidi="ar-EG"/>
        </w:rPr>
        <w:t>TaqMan</w:t>
      </w:r>
      <w:proofErr w:type="spellEnd"/>
      <w:r w:rsidRPr="00423138">
        <w:rPr>
          <w:rFonts w:asciiTheme="majorBidi" w:hAnsiTheme="majorBidi" w:cstheme="majorBidi"/>
          <w:sz w:val="24"/>
          <w:szCs w:val="24"/>
          <w:lang w:bidi="ar-EG"/>
        </w:rPr>
        <w:t xml:space="preserve">® MicroRNA RT Kit (Applied </w:t>
      </w:r>
      <w:proofErr w:type="spellStart"/>
      <w:r w:rsidRPr="00423138">
        <w:rPr>
          <w:rFonts w:asciiTheme="majorBidi" w:hAnsiTheme="majorBidi" w:cstheme="majorBidi"/>
          <w:sz w:val="24"/>
          <w:szCs w:val="24"/>
          <w:lang w:bidi="ar-EG"/>
        </w:rPr>
        <w:t>Biosystems</w:t>
      </w:r>
      <w:proofErr w:type="spellEnd"/>
      <w:r w:rsidRPr="00423138">
        <w:rPr>
          <w:rFonts w:asciiTheme="majorBidi" w:hAnsiTheme="majorBidi" w:cstheme="majorBidi"/>
          <w:sz w:val="24"/>
          <w:szCs w:val="24"/>
          <w:lang w:bidi="ar-EG"/>
        </w:rPr>
        <w:t xml:space="preserve">, USA Part No. 4366596), in combination with the stem </w:t>
      </w:r>
      <w:proofErr w:type="spellStart"/>
      <w:r w:rsidRPr="00423138">
        <w:rPr>
          <w:rFonts w:asciiTheme="majorBidi" w:hAnsiTheme="majorBidi" w:cstheme="majorBidi"/>
          <w:sz w:val="24"/>
          <w:szCs w:val="24"/>
          <w:lang w:bidi="ar-EG"/>
        </w:rPr>
        <w:t>loopTaqMan</w:t>
      </w:r>
      <w:proofErr w:type="spellEnd"/>
      <w:r w:rsidRPr="00423138">
        <w:rPr>
          <w:rFonts w:asciiTheme="majorBidi" w:hAnsiTheme="majorBidi" w:cstheme="majorBidi"/>
          <w:sz w:val="24"/>
          <w:szCs w:val="24"/>
          <w:lang w:bidi="ar-EG"/>
        </w:rPr>
        <w:t xml:space="preserve">® MicroRNA and control RT primer 5× (Applied </w:t>
      </w:r>
      <w:proofErr w:type="spellStart"/>
      <w:r w:rsidRPr="00423138">
        <w:rPr>
          <w:rFonts w:asciiTheme="majorBidi" w:hAnsiTheme="majorBidi" w:cstheme="majorBidi"/>
          <w:sz w:val="24"/>
          <w:szCs w:val="24"/>
          <w:lang w:bidi="ar-EG"/>
        </w:rPr>
        <w:t>Biosystems</w:t>
      </w:r>
      <w:proofErr w:type="spellEnd"/>
      <w:r w:rsidRPr="00423138">
        <w:rPr>
          <w:rFonts w:asciiTheme="majorBidi" w:hAnsiTheme="majorBidi" w:cstheme="majorBidi"/>
          <w:sz w:val="24"/>
          <w:szCs w:val="24"/>
          <w:lang w:bidi="ar-EG"/>
        </w:rPr>
        <w:t>, USA, part No. 4427975), allowing the simultaneous reverse transcription of target miRNAs and control according to the manufacturer’s instructions.</w:t>
      </w:r>
    </w:p>
    <w:p w:rsidR="00423138" w:rsidRPr="00423138" w:rsidRDefault="00423138" w:rsidP="00423138">
      <w:pPr>
        <w:numPr>
          <w:ilvl w:val="0"/>
          <w:numId w:val="5"/>
        </w:numPr>
        <w:bidi w:val="0"/>
        <w:spacing w:after="120" w:line="240" w:lineRule="auto"/>
        <w:jc w:val="lowKashida"/>
        <w:rPr>
          <w:rFonts w:asciiTheme="majorBidi" w:hAnsiTheme="majorBidi" w:cstheme="majorBidi"/>
          <w:sz w:val="24"/>
          <w:szCs w:val="24"/>
          <w:lang w:bidi="ar-EG"/>
        </w:rPr>
      </w:pPr>
      <w:r w:rsidRPr="00423138">
        <w:rPr>
          <w:rFonts w:asciiTheme="majorBidi" w:hAnsiTheme="majorBidi" w:cstheme="majorBidi"/>
          <w:sz w:val="24"/>
          <w:szCs w:val="24"/>
          <w:lang w:bidi="ar-EG"/>
        </w:rPr>
        <w:t>Real-time polymerase chain reaction amplification and analysis</w:t>
      </w:r>
    </w:p>
    <w:p w:rsidR="00423138" w:rsidRPr="00423138" w:rsidRDefault="00423138" w:rsidP="00423138">
      <w:pPr>
        <w:bidi w:val="0"/>
        <w:spacing w:after="120" w:line="240" w:lineRule="auto"/>
        <w:jc w:val="lowKashida"/>
        <w:rPr>
          <w:rFonts w:asciiTheme="majorBidi" w:hAnsiTheme="majorBidi" w:cstheme="majorBidi"/>
          <w:sz w:val="24"/>
          <w:szCs w:val="24"/>
          <w:lang w:bidi="ar-EG"/>
        </w:rPr>
      </w:pPr>
      <w:r w:rsidRPr="00423138">
        <w:rPr>
          <w:rFonts w:asciiTheme="majorBidi" w:hAnsiTheme="majorBidi" w:cstheme="majorBidi"/>
          <w:sz w:val="24"/>
          <w:szCs w:val="24"/>
          <w:lang w:bidi="ar-EG"/>
        </w:rPr>
        <w:t xml:space="preserve">Real-time polymerase chain reaction (PCR) was performed using </w:t>
      </w:r>
      <w:proofErr w:type="spellStart"/>
      <w:r w:rsidRPr="00423138">
        <w:rPr>
          <w:rFonts w:asciiTheme="majorBidi" w:hAnsiTheme="majorBidi" w:cstheme="majorBidi"/>
          <w:sz w:val="24"/>
          <w:szCs w:val="24"/>
          <w:lang w:bidi="ar-EG"/>
        </w:rPr>
        <w:t>TaqMan</w:t>
      </w:r>
      <w:proofErr w:type="spellEnd"/>
      <w:r w:rsidRPr="00423138">
        <w:rPr>
          <w:rFonts w:asciiTheme="majorBidi" w:hAnsiTheme="majorBidi" w:cstheme="majorBidi"/>
          <w:sz w:val="24"/>
          <w:szCs w:val="24"/>
          <w:lang w:bidi="ar-EG"/>
        </w:rPr>
        <w:t xml:space="preserve"> microRNA assays specific to the corresponding mature sequence analyzed. Quantitative PCR (qPCR) steps were run in the </w:t>
      </w:r>
      <w:proofErr w:type="spellStart"/>
      <w:r w:rsidRPr="00423138">
        <w:rPr>
          <w:rFonts w:asciiTheme="majorBidi" w:hAnsiTheme="majorBidi" w:cstheme="majorBidi"/>
          <w:sz w:val="24"/>
          <w:szCs w:val="24"/>
          <w:lang w:bidi="ar-EG"/>
        </w:rPr>
        <w:t>StepOne</w:t>
      </w:r>
      <w:proofErr w:type="spellEnd"/>
      <w:r w:rsidRPr="00423138">
        <w:rPr>
          <w:rFonts w:asciiTheme="majorBidi" w:hAnsiTheme="majorBidi" w:cstheme="majorBidi"/>
          <w:sz w:val="24"/>
          <w:szCs w:val="24"/>
          <w:lang w:bidi="ar-EG"/>
        </w:rPr>
        <w:t xml:space="preserve"> real-time PCR system (Applied </w:t>
      </w:r>
      <w:proofErr w:type="spellStart"/>
      <w:r w:rsidRPr="00423138">
        <w:rPr>
          <w:rFonts w:asciiTheme="majorBidi" w:hAnsiTheme="majorBidi" w:cstheme="majorBidi"/>
          <w:sz w:val="24"/>
          <w:szCs w:val="24"/>
          <w:lang w:bidi="ar-EG"/>
        </w:rPr>
        <w:t>Biosystems</w:t>
      </w:r>
      <w:proofErr w:type="spellEnd"/>
      <w:r w:rsidRPr="00423138">
        <w:rPr>
          <w:rFonts w:asciiTheme="majorBidi" w:hAnsiTheme="majorBidi" w:cstheme="majorBidi"/>
          <w:sz w:val="24"/>
          <w:szCs w:val="24"/>
          <w:lang w:bidi="ar-EG"/>
        </w:rPr>
        <w:t xml:space="preserve">) using </w:t>
      </w:r>
      <w:proofErr w:type="spellStart"/>
      <w:r w:rsidRPr="00423138">
        <w:rPr>
          <w:rFonts w:asciiTheme="majorBidi" w:hAnsiTheme="majorBidi" w:cstheme="majorBidi"/>
          <w:sz w:val="24"/>
          <w:szCs w:val="24"/>
          <w:lang w:bidi="ar-EG"/>
        </w:rPr>
        <w:t>TaqMan</w:t>
      </w:r>
      <w:proofErr w:type="spellEnd"/>
      <w:r w:rsidRPr="00423138">
        <w:rPr>
          <w:rFonts w:asciiTheme="majorBidi" w:hAnsiTheme="majorBidi" w:cstheme="majorBidi"/>
          <w:sz w:val="24"/>
          <w:szCs w:val="24"/>
          <w:lang w:bidi="ar-EG"/>
        </w:rPr>
        <w:t xml:space="preserve">® MicroRNA assays 20× (Applied </w:t>
      </w:r>
      <w:proofErr w:type="spellStart"/>
      <w:r w:rsidRPr="00423138">
        <w:rPr>
          <w:rFonts w:asciiTheme="majorBidi" w:hAnsiTheme="majorBidi" w:cstheme="majorBidi"/>
          <w:sz w:val="24"/>
          <w:szCs w:val="24"/>
          <w:lang w:bidi="ar-EG"/>
        </w:rPr>
        <w:t>Biosystems</w:t>
      </w:r>
      <w:proofErr w:type="spellEnd"/>
      <w:r w:rsidRPr="00423138">
        <w:rPr>
          <w:rFonts w:asciiTheme="majorBidi" w:hAnsiTheme="majorBidi" w:cstheme="majorBidi"/>
          <w:sz w:val="24"/>
          <w:szCs w:val="24"/>
          <w:lang w:bidi="ar-EG"/>
        </w:rPr>
        <w:t xml:space="preserve">, USA, part No.4427975), </w:t>
      </w:r>
      <w:proofErr w:type="spellStart"/>
      <w:r w:rsidRPr="00423138">
        <w:rPr>
          <w:rFonts w:asciiTheme="majorBidi" w:hAnsiTheme="majorBidi" w:cstheme="majorBidi"/>
          <w:sz w:val="24"/>
          <w:szCs w:val="24"/>
          <w:lang w:bidi="ar-EG"/>
        </w:rPr>
        <w:t>TaqMan</w:t>
      </w:r>
      <w:proofErr w:type="spellEnd"/>
      <w:r w:rsidRPr="00423138">
        <w:rPr>
          <w:rFonts w:asciiTheme="majorBidi" w:hAnsiTheme="majorBidi" w:cstheme="majorBidi"/>
          <w:sz w:val="24"/>
          <w:szCs w:val="24"/>
          <w:lang w:bidi="ar-EG"/>
        </w:rPr>
        <w:t xml:space="preserve">® Endogenous Control Assay 20× (Applied </w:t>
      </w:r>
      <w:proofErr w:type="spellStart"/>
      <w:r w:rsidRPr="00423138">
        <w:rPr>
          <w:rFonts w:asciiTheme="majorBidi" w:hAnsiTheme="majorBidi" w:cstheme="majorBidi"/>
          <w:sz w:val="24"/>
          <w:szCs w:val="24"/>
          <w:lang w:bidi="ar-EG"/>
        </w:rPr>
        <w:t>Biosystems</w:t>
      </w:r>
      <w:proofErr w:type="spellEnd"/>
      <w:r w:rsidRPr="00423138">
        <w:rPr>
          <w:rFonts w:asciiTheme="majorBidi" w:hAnsiTheme="majorBidi" w:cstheme="majorBidi"/>
          <w:sz w:val="24"/>
          <w:szCs w:val="24"/>
          <w:lang w:bidi="ar-EG"/>
        </w:rPr>
        <w:t xml:space="preserve">, USA, part No.4427975), and </w:t>
      </w:r>
      <w:proofErr w:type="spellStart"/>
      <w:r w:rsidRPr="00423138">
        <w:rPr>
          <w:rFonts w:asciiTheme="majorBidi" w:hAnsiTheme="majorBidi" w:cstheme="majorBidi"/>
          <w:sz w:val="24"/>
          <w:szCs w:val="24"/>
          <w:lang w:bidi="ar-EG"/>
        </w:rPr>
        <w:t>TaqMan</w:t>
      </w:r>
      <w:proofErr w:type="spellEnd"/>
      <w:r w:rsidRPr="00423138">
        <w:rPr>
          <w:rFonts w:asciiTheme="majorBidi" w:hAnsiTheme="majorBidi" w:cstheme="majorBidi"/>
          <w:sz w:val="24"/>
          <w:szCs w:val="24"/>
          <w:lang w:bidi="ar-EG"/>
        </w:rPr>
        <w:t xml:space="preserve">® Universal Master Mix II, no UNG 1 × 1 mL (Applied </w:t>
      </w:r>
      <w:proofErr w:type="spellStart"/>
      <w:r w:rsidRPr="00423138">
        <w:rPr>
          <w:rFonts w:asciiTheme="majorBidi" w:hAnsiTheme="majorBidi" w:cstheme="majorBidi"/>
          <w:sz w:val="24"/>
          <w:szCs w:val="24"/>
          <w:lang w:bidi="ar-EG"/>
        </w:rPr>
        <w:t>Biosystems</w:t>
      </w:r>
      <w:proofErr w:type="spellEnd"/>
      <w:r w:rsidRPr="00423138">
        <w:rPr>
          <w:rFonts w:asciiTheme="majorBidi" w:hAnsiTheme="majorBidi" w:cstheme="majorBidi"/>
          <w:sz w:val="24"/>
          <w:szCs w:val="24"/>
          <w:lang w:bidi="ar-EG"/>
        </w:rPr>
        <w:t>, USA, part No.4440043).</w:t>
      </w:r>
    </w:p>
    <w:p w:rsidR="00423138" w:rsidRPr="00423138" w:rsidRDefault="00423138" w:rsidP="00423138">
      <w:pPr>
        <w:numPr>
          <w:ilvl w:val="0"/>
          <w:numId w:val="5"/>
        </w:numPr>
        <w:bidi w:val="0"/>
        <w:spacing w:after="120" w:line="240" w:lineRule="auto"/>
        <w:jc w:val="lowKashida"/>
        <w:rPr>
          <w:rFonts w:asciiTheme="majorBidi" w:hAnsiTheme="majorBidi" w:cstheme="majorBidi"/>
          <w:sz w:val="24"/>
          <w:szCs w:val="24"/>
          <w:lang w:bidi="ar-EG"/>
        </w:rPr>
      </w:pPr>
      <w:r w:rsidRPr="00423138">
        <w:rPr>
          <w:rFonts w:asciiTheme="majorBidi" w:hAnsiTheme="majorBidi" w:cstheme="majorBidi"/>
          <w:sz w:val="24"/>
          <w:szCs w:val="24"/>
          <w:lang w:bidi="ar-EG"/>
        </w:rPr>
        <w:t>Data analysis: comparative CT method (ΔΔC</w:t>
      </w:r>
      <w:r w:rsidRPr="00423138">
        <w:rPr>
          <w:rFonts w:asciiTheme="majorBidi" w:hAnsiTheme="majorBidi" w:cstheme="majorBidi"/>
          <w:sz w:val="24"/>
          <w:szCs w:val="24"/>
          <w:vertAlign w:val="subscript"/>
          <w:lang w:bidi="ar-EG"/>
        </w:rPr>
        <w:t>T</w:t>
      </w:r>
      <w:r w:rsidRPr="00423138">
        <w:rPr>
          <w:rFonts w:asciiTheme="majorBidi" w:hAnsiTheme="majorBidi" w:cstheme="majorBidi"/>
          <w:sz w:val="24"/>
          <w:szCs w:val="24"/>
          <w:lang w:bidi="ar-EG"/>
        </w:rPr>
        <w:t>)</w:t>
      </w:r>
    </w:p>
    <w:p w:rsidR="00423138" w:rsidRPr="00423138" w:rsidRDefault="00423138" w:rsidP="00423138">
      <w:pPr>
        <w:bidi w:val="0"/>
        <w:spacing w:after="120" w:line="240" w:lineRule="auto"/>
        <w:jc w:val="lowKashida"/>
        <w:rPr>
          <w:rFonts w:asciiTheme="majorBidi" w:hAnsiTheme="majorBidi" w:cstheme="majorBidi"/>
          <w:sz w:val="24"/>
          <w:szCs w:val="24"/>
          <w:lang w:bidi="ar-EG"/>
        </w:rPr>
      </w:pPr>
      <w:r w:rsidRPr="00423138">
        <w:rPr>
          <w:rFonts w:asciiTheme="majorBidi" w:hAnsiTheme="majorBidi" w:cstheme="majorBidi"/>
          <w:sz w:val="24"/>
          <w:szCs w:val="24"/>
          <w:lang w:bidi="ar-EG"/>
        </w:rPr>
        <w:t>The miRNA expression level was measured using the C</w:t>
      </w:r>
      <w:r w:rsidRPr="00423138">
        <w:rPr>
          <w:rFonts w:asciiTheme="majorBidi" w:hAnsiTheme="majorBidi" w:cstheme="majorBidi"/>
          <w:sz w:val="24"/>
          <w:szCs w:val="24"/>
          <w:vertAlign w:val="subscript"/>
          <w:lang w:bidi="ar-EG"/>
        </w:rPr>
        <w:t>T</w:t>
      </w:r>
      <w:r w:rsidRPr="00423138">
        <w:rPr>
          <w:rFonts w:asciiTheme="majorBidi" w:hAnsiTheme="majorBidi" w:cstheme="majorBidi"/>
          <w:sz w:val="24"/>
          <w:szCs w:val="24"/>
          <w:lang w:bidi="ar-EG"/>
        </w:rPr>
        <w:t> method. The expression for each miRNA is represented by the difference between its C</w:t>
      </w:r>
      <w:r w:rsidRPr="00423138">
        <w:rPr>
          <w:rFonts w:asciiTheme="majorBidi" w:hAnsiTheme="majorBidi" w:cstheme="majorBidi"/>
          <w:sz w:val="24"/>
          <w:szCs w:val="24"/>
          <w:vertAlign w:val="subscript"/>
          <w:lang w:bidi="ar-EG"/>
        </w:rPr>
        <w:t>T</w:t>
      </w:r>
      <w:r w:rsidRPr="00423138">
        <w:rPr>
          <w:rFonts w:asciiTheme="majorBidi" w:hAnsiTheme="majorBidi" w:cstheme="majorBidi"/>
          <w:sz w:val="24"/>
          <w:szCs w:val="24"/>
          <w:lang w:bidi="ar-EG"/>
        </w:rPr>
        <w:t> value and the average C</w:t>
      </w:r>
      <w:r w:rsidRPr="00423138">
        <w:rPr>
          <w:rFonts w:asciiTheme="majorBidi" w:hAnsiTheme="majorBidi" w:cstheme="majorBidi"/>
          <w:sz w:val="24"/>
          <w:szCs w:val="24"/>
          <w:vertAlign w:val="subscript"/>
          <w:lang w:bidi="ar-EG"/>
        </w:rPr>
        <w:t>T</w:t>
      </w:r>
      <w:r w:rsidRPr="00423138">
        <w:rPr>
          <w:rFonts w:asciiTheme="majorBidi" w:hAnsiTheme="majorBidi" w:cstheme="majorBidi"/>
          <w:sz w:val="24"/>
          <w:szCs w:val="24"/>
          <w:lang w:bidi="ar-EG"/>
        </w:rPr>
        <w:t> value of reference genes, per sample, within a given sample set. We used U6 snRNA as the reference gene. The relative expression (fold change) for each candidate miRNA within each group was then calculated using the equation 2</w:t>
      </w:r>
      <w:r w:rsidRPr="00423138">
        <w:rPr>
          <w:rFonts w:asciiTheme="majorBidi" w:hAnsiTheme="majorBidi" w:cstheme="majorBidi"/>
          <w:sz w:val="24"/>
          <w:szCs w:val="24"/>
          <w:vertAlign w:val="superscript"/>
          <w:lang w:bidi="ar-EG"/>
        </w:rPr>
        <w:t>−∆∆</w:t>
      </w:r>
      <w:proofErr w:type="gramStart"/>
      <w:r w:rsidRPr="00423138">
        <w:rPr>
          <w:rFonts w:asciiTheme="majorBidi" w:hAnsiTheme="majorBidi" w:cstheme="majorBidi"/>
          <w:sz w:val="24"/>
          <w:szCs w:val="24"/>
          <w:vertAlign w:val="superscript"/>
          <w:lang w:bidi="ar-EG"/>
        </w:rPr>
        <w:t>CT</w:t>
      </w:r>
      <w:r w:rsidRPr="00423138">
        <w:rPr>
          <w:rFonts w:asciiTheme="majorBidi" w:hAnsiTheme="majorBidi" w:cstheme="majorBidi"/>
          <w:sz w:val="24"/>
          <w:szCs w:val="24"/>
          <w:lang w:bidi="ar-EG"/>
        </w:rPr>
        <w:t> .</w:t>
      </w:r>
      <w:proofErr w:type="gramEnd"/>
      <w:r w:rsidRPr="00423138">
        <w:rPr>
          <w:rFonts w:asciiTheme="majorBidi" w:hAnsiTheme="majorBidi" w:cstheme="majorBidi"/>
          <w:sz w:val="24"/>
          <w:szCs w:val="24"/>
          <w:lang w:bidi="ar-EG"/>
        </w:rPr>
        <w:t xml:space="preserve"> The ΔC</w:t>
      </w:r>
      <w:r w:rsidRPr="00423138">
        <w:rPr>
          <w:rFonts w:asciiTheme="majorBidi" w:hAnsiTheme="majorBidi" w:cstheme="majorBidi"/>
          <w:sz w:val="24"/>
          <w:szCs w:val="24"/>
          <w:vertAlign w:val="subscript"/>
          <w:lang w:bidi="ar-EG"/>
        </w:rPr>
        <w:t>T</w:t>
      </w:r>
      <w:r w:rsidRPr="00423138">
        <w:rPr>
          <w:rFonts w:asciiTheme="majorBidi" w:hAnsiTheme="majorBidi" w:cstheme="majorBidi"/>
          <w:sz w:val="24"/>
          <w:szCs w:val="24"/>
          <w:lang w:bidi="ar-EG"/>
        </w:rPr>
        <w:t> for each miRNA in each sample was calculated as follows: ∆</w:t>
      </w:r>
      <w:proofErr w:type="spellStart"/>
      <w:r w:rsidRPr="00423138">
        <w:rPr>
          <w:rFonts w:asciiTheme="majorBidi" w:hAnsiTheme="majorBidi" w:cstheme="majorBidi"/>
          <w:sz w:val="24"/>
          <w:szCs w:val="24"/>
          <w:lang w:bidi="ar-EG"/>
        </w:rPr>
        <w:t>C</w:t>
      </w:r>
      <w:r w:rsidRPr="00423138">
        <w:rPr>
          <w:rFonts w:asciiTheme="majorBidi" w:hAnsiTheme="majorBidi" w:cstheme="majorBidi"/>
          <w:sz w:val="24"/>
          <w:szCs w:val="24"/>
          <w:vertAlign w:val="subscript"/>
          <w:lang w:bidi="ar-EG"/>
        </w:rPr>
        <w:t>Tsample</w:t>
      </w:r>
      <w:proofErr w:type="spellEnd"/>
      <w:r w:rsidRPr="00423138">
        <w:rPr>
          <w:rFonts w:asciiTheme="majorBidi" w:hAnsiTheme="majorBidi" w:cstheme="majorBidi"/>
          <w:sz w:val="24"/>
          <w:szCs w:val="24"/>
          <w:lang w:bidi="ar-EG"/>
        </w:rPr>
        <w:t xml:space="preserve"> = </w:t>
      </w:r>
      <w:proofErr w:type="spellStart"/>
      <w:r w:rsidRPr="00423138">
        <w:rPr>
          <w:rFonts w:asciiTheme="majorBidi" w:hAnsiTheme="majorBidi" w:cstheme="majorBidi"/>
          <w:sz w:val="24"/>
          <w:szCs w:val="24"/>
          <w:lang w:bidi="ar-EG"/>
        </w:rPr>
        <w:t>C</w:t>
      </w:r>
      <w:r w:rsidRPr="00423138">
        <w:rPr>
          <w:rFonts w:asciiTheme="majorBidi" w:hAnsiTheme="majorBidi" w:cstheme="majorBidi"/>
          <w:sz w:val="24"/>
          <w:szCs w:val="24"/>
          <w:vertAlign w:val="subscript"/>
          <w:lang w:bidi="ar-EG"/>
        </w:rPr>
        <w:t>TtargetmiRNA</w:t>
      </w:r>
      <w:proofErr w:type="spellEnd"/>
      <w:r w:rsidRPr="00423138">
        <w:rPr>
          <w:rFonts w:asciiTheme="majorBidi" w:hAnsiTheme="majorBidi" w:cstheme="majorBidi"/>
          <w:sz w:val="24"/>
          <w:szCs w:val="24"/>
          <w:lang w:bidi="ar-EG"/>
        </w:rPr>
        <w:t> − C</w:t>
      </w:r>
      <w:r w:rsidRPr="00423138">
        <w:rPr>
          <w:rFonts w:asciiTheme="majorBidi" w:hAnsiTheme="majorBidi" w:cstheme="majorBidi"/>
          <w:sz w:val="24"/>
          <w:szCs w:val="24"/>
          <w:vertAlign w:val="subscript"/>
          <w:lang w:bidi="ar-EG"/>
        </w:rPr>
        <w:t>TU6snRNA</w:t>
      </w:r>
      <w:r w:rsidRPr="00423138">
        <w:rPr>
          <w:rFonts w:asciiTheme="majorBidi" w:hAnsiTheme="majorBidi" w:cstheme="majorBidi"/>
          <w:sz w:val="24"/>
          <w:szCs w:val="24"/>
          <w:lang w:bidi="ar-EG"/>
        </w:rPr>
        <w:t>. Then, ∆∆C</w:t>
      </w:r>
      <w:r w:rsidRPr="00423138">
        <w:rPr>
          <w:rFonts w:asciiTheme="majorBidi" w:hAnsiTheme="majorBidi" w:cstheme="majorBidi"/>
          <w:sz w:val="24"/>
          <w:szCs w:val="24"/>
          <w:vertAlign w:val="subscript"/>
          <w:lang w:bidi="ar-EG"/>
        </w:rPr>
        <w:t>T</w:t>
      </w:r>
      <w:r w:rsidRPr="00423138">
        <w:rPr>
          <w:rFonts w:asciiTheme="majorBidi" w:hAnsiTheme="majorBidi" w:cstheme="majorBidi"/>
          <w:sz w:val="24"/>
          <w:szCs w:val="24"/>
          <w:lang w:bidi="ar-EG"/>
        </w:rPr>
        <w:t> was calculated as follows: ΔΔC</w:t>
      </w:r>
      <w:r w:rsidRPr="00423138">
        <w:rPr>
          <w:rFonts w:asciiTheme="majorBidi" w:hAnsiTheme="majorBidi" w:cstheme="majorBidi"/>
          <w:sz w:val="24"/>
          <w:szCs w:val="24"/>
          <w:vertAlign w:val="subscript"/>
          <w:lang w:bidi="ar-EG"/>
        </w:rPr>
        <w:t>T</w:t>
      </w:r>
      <w:r w:rsidRPr="00423138">
        <w:rPr>
          <w:rFonts w:asciiTheme="majorBidi" w:hAnsiTheme="majorBidi" w:cstheme="majorBidi"/>
          <w:sz w:val="24"/>
          <w:szCs w:val="24"/>
          <w:lang w:bidi="ar-EG"/>
        </w:rPr>
        <w:t> = (</w:t>
      </w:r>
      <w:proofErr w:type="spellStart"/>
      <w:r w:rsidRPr="00423138">
        <w:rPr>
          <w:rFonts w:asciiTheme="majorBidi" w:hAnsiTheme="majorBidi" w:cstheme="majorBidi"/>
          <w:sz w:val="24"/>
          <w:szCs w:val="24"/>
          <w:lang w:bidi="ar-EG"/>
        </w:rPr>
        <w:t>C</w:t>
      </w:r>
      <w:r w:rsidRPr="00423138">
        <w:rPr>
          <w:rFonts w:asciiTheme="majorBidi" w:hAnsiTheme="majorBidi" w:cstheme="majorBidi"/>
          <w:sz w:val="24"/>
          <w:szCs w:val="24"/>
          <w:vertAlign w:val="subscript"/>
          <w:lang w:bidi="ar-EG"/>
        </w:rPr>
        <w:t>TmiRNA</w:t>
      </w:r>
      <w:proofErr w:type="spellEnd"/>
      <w:r w:rsidRPr="00423138">
        <w:rPr>
          <w:rFonts w:asciiTheme="majorBidi" w:hAnsiTheme="majorBidi" w:cstheme="majorBidi"/>
          <w:sz w:val="24"/>
          <w:szCs w:val="24"/>
          <w:lang w:bidi="ar-EG"/>
        </w:rPr>
        <w:t> − C</w:t>
      </w:r>
      <w:r w:rsidRPr="00423138">
        <w:rPr>
          <w:rFonts w:asciiTheme="majorBidi" w:hAnsiTheme="majorBidi" w:cstheme="majorBidi"/>
          <w:sz w:val="24"/>
          <w:szCs w:val="24"/>
          <w:vertAlign w:val="subscript"/>
          <w:lang w:bidi="ar-EG"/>
        </w:rPr>
        <w:t>TU6snRNA</w:t>
      </w:r>
      <w:r w:rsidRPr="00423138">
        <w:rPr>
          <w:rFonts w:asciiTheme="majorBidi" w:hAnsiTheme="majorBidi" w:cstheme="majorBidi"/>
          <w:sz w:val="24"/>
          <w:szCs w:val="24"/>
          <w:lang w:bidi="ar-EG"/>
        </w:rPr>
        <w:t>) </w:t>
      </w:r>
      <w:r w:rsidRPr="00423138">
        <w:rPr>
          <w:rFonts w:asciiTheme="majorBidi" w:hAnsiTheme="majorBidi" w:cstheme="majorBidi"/>
          <w:sz w:val="24"/>
          <w:szCs w:val="24"/>
          <w:vertAlign w:val="subscript"/>
          <w:lang w:bidi="ar-EG"/>
        </w:rPr>
        <w:t>patients</w:t>
      </w:r>
      <w:r w:rsidRPr="00423138">
        <w:rPr>
          <w:rFonts w:asciiTheme="majorBidi" w:hAnsiTheme="majorBidi" w:cstheme="majorBidi"/>
          <w:sz w:val="24"/>
          <w:szCs w:val="24"/>
          <w:lang w:bidi="ar-EG"/>
        </w:rPr>
        <w:t> − (</w:t>
      </w:r>
      <w:proofErr w:type="spellStart"/>
      <w:r w:rsidRPr="00423138">
        <w:rPr>
          <w:rFonts w:asciiTheme="majorBidi" w:hAnsiTheme="majorBidi" w:cstheme="majorBidi"/>
          <w:sz w:val="24"/>
          <w:szCs w:val="24"/>
          <w:lang w:bidi="ar-EG"/>
        </w:rPr>
        <w:t>C</w:t>
      </w:r>
      <w:r w:rsidRPr="00423138">
        <w:rPr>
          <w:rFonts w:asciiTheme="majorBidi" w:hAnsiTheme="majorBidi" w:cstheme="majorBidi"/>
          <w:sz w:val="24"/>
          <w:szCs w:val="24"/>
          <w:vertAlign w:val="subscript"/>
          <w:lang w:bidi="ar-EG"/>
        </w:rPr>
        <w:t>TmiRNA</w:t>
      </w:r>
      <w:proofErr w:type="spellEnd"/>
      <w:r w:rsidRPr="00423138">
        <w:rPr>
          <w:rFonts w:asciiTheme="majorBidi" w:hAnsiTheme="majorBidi" w:cstheme="majorBidi"/>
          <w:sz w:val="24"/>
          <w:szCs w:val="24"/>
          <w:lang w:bidi="ar-EG"/>
        </w:rPr>
        <w:t> − C</w:t>
      </w:r>
      <w:r w:rsidRPr="00423138">
        <w:rPr>
          <w:rFonts w:asciiTheme="majorBidi" w:hAnsiTheme="majorBidi" w:cstheme="majorBidi"/>
          <w:sz w:val="24"/>
          <w:szCs w:val="24"/>
          <w:vertAlign w:val="subscript"/>
          <w:lang w:bidi="ar-EG"/>
        </w:rPr>
        <w:t>TU6snRNA</w:t>
      </w:r>
      <w:r w:rsidRPr="00423138">
        <w:rPr>
          <w:rFonts w:asciiTheme="majorBidi" w:hAnsiTheme="majorBidi" w:cstheme="majorBidi"/>
          <w:sz w:val="24"/>
          <w:szCs w:val="24"/>
          <w:lang w:bidi="ar-EG"/>
        </w:rPr>
        <w:t>) </w:t>
      </w:r>
      <w:r w:rsidRPr="00423138">
        <w:rPr>
          <w:rFonts w:asciiTheme="majorBidi" w:hAnsiTheme="majorBidi" w:cstheme="majorBidi"/>
          <w:sz w:val="24"/>
          <w:szCs w:val="24"/>
          <w:vertAlign w:val="subscript"/>
          <w:lang w:bidi="ar-EG"/>
        </w:rPr>
        <w:t>controls</w:t>
      </w:r>
      <w:r w:rsidRPr="00423138">
        <w:rPr>
          <w:rFonts w:asciiTheme="majorBidi" w:hAnsiTheme="majorBidi" w:cstheme="majorBidi"/>
          <w:sz w:val="24"/>
          <w:szCs w:val="24"/>
          <w:lang w:bidi="ar-EG"/>
        </w:rPr>
        <w:t>.</w:t>
      </w:r>
    </w:p>
    <w:p w:rsidR="00423138" w:rsidRPr="00423138" w:rsidRDefault="00423138" w:rsidP="00423138">
      <w:pPr>
        <w:bidi w:val="0"/>
        <w:spacing w:after="120" w:line="240" w:lineRule="auto"/>
        <w:jc w:val="lowKashida"/>
        <w:rPr>
          <w:rFonts w:asciiTheme="majorBidi" w:hAnsiTheme="majorBidi" w:cstheme="majorBidi"/>
          <w:sz w:val="24"/>
          <w:szCs w:val="24"/>
          <w:lang w:bidi="ar-EG"/>
        </w:rPr>
      </w:pPr>
      <w:r w:rsidRPr="00423138">
        <w:rPr>
          <w:rFonts w:asciiTheme="majorBidi" w:hAnsiTheme="majorBidi" w:cstheme="majorBidi"/>
          <w:sz w:val="24"/>
          <w:szCs w:val="24"/>
          <w:lang w:bidi="ar-EG"/>
        </w:rPr>
        <w:t xml:space="preserve"> Relative quantification:</w:t>
      </w:r>
    </w:p>
    <w:p w:rsidR="00423138" w:rsidRPr="00423138" w:rsidRDefault="00423138" w:rsidP="00423138">
      <w:pPr>
        <w:bidi w:val="0"/>
        <w:spacing w:after="120" w:line="240" w:lineRule="auto"/>
        <w:jc w:val="lowKashida"/>
        <w:rPr>
          <w:rFonts w:asciiTheme="majorBidi" w:hAnsiTheme="majorBidi" w:cstheme="majorBidi"/>
          <w:sz w:val="24"/>
          <w:szCs w:val="24"/>
          <w:lang w:bidi="ar-EG"/>
        </w:rPr>
      </w:pPr>
      <w:r w:rsidRPr="00423138">
        <w:rPr>
          <w:rFonts w:asciiTheme="majorBidi" w:hAnsiTheme="majorBidi" w:cstheme="majorBidi"/>
          <w:sz w:val="24"/>
          <w:szCs w:val="24"/>
          <w:lang w:bidi="ar-EG"/>
        </w:rPr>
        <w:t>When SYBR dye is added to a sample, it immediately binds to all double-stranded DNA present in the sample. During PCR, DNA polymerase amplifies the target sequence which creates the PCR products. SYBR dye then binds to each new copy of double-stranded DNA. As the PCR progresses, more PCR product is created. SYBR® dye binds to all double-stranded DNA, so the result is an increase in fluorescence intensity proportioned to the amount of PCR product produced.</w:t>
      </w:r>
    </w:p>
    <w:p w:rsidR="00423138" w:rsidRPr="00423138" w:rsidRDefault="00423138" w:rsidP="00423138">
      <w:pPr>
        <w:bidi w:val="0"/>
        <w:spacing w:after="120" w:line="240" w:lineRule="auto"/>
        <w:rPr>
          <w:rFonts w:asciiTheme="majorBidi" w:hAnsiTheme="majorBidi" w:cstheme="majorBidi"/>
          <w:b/>
          <w:bCs/>
          <w:sz w:val="24"/>
          <w:szCs w:val="24"/>
          <w:lang w:bidi="ar-EG"/>
        </w:rPr>
      </w:pPr>
      <w:r w:rsidRPr="00423138">
        <w:rPr>
          <w:rFonts w:asciiTheme="majorBidi" w:hAnsiTheme="majorBidi" w:cstheme="majorBidi"/>
          <w:b/>
          <w:bCs/>
          <w:sz w:val="24"/>
          <w:szCs w:val="24"/>
          <w:lang w:bidi="ar-EG"/>
        </w:rPr>
        <w:t>Statistical analysis</w:t>
      </w:r>
    </w:p>
    <w:p w:rsidR="00423138" w:rsidRPr="00423138" w:rsidRDefault="00423138" w:rsidP="00423138">
      <w:pPr>
        <w:bidi w:val="0"/>
        <w:spacing w:after="120" w:line="240" w:lineRule="auto"/>
        <w:jc w:val="lowKashida"/>
        <w:rPr>
          <w:rFonts w:asciiTheme="majorBidi" w:hAnsiTheme="majorBidi" w:cstheme="majorBidi"/>
          <w:iCs/>
          <w:sz w:val="24"/>
          <w:szCs w:val="24"/>
          <w:lang w:val="en-GB" w:bidi="ar-EG"/>
        </w:rPr>
      </w:pPr>
      <w:r w:rsidRPr="00423138">
        <w:rPr>
          <w:rFonts w:asciiTheme="majorBidi" w:hAnsiTheme="majorBidi" w:cstheme="majorBidi"/>
          <w:sz w:val="24"/>
          <w:szCs w:val="24"/>
          <w:lang w:bidi="ar-EG"/>
        </w:rPr>
        <w:t xml:space="preserve">The data were coded, entered and processed on computer using SPSS (version 24). The results were represented in tabular and diagrammatic forms then interpreted. Mean, standard deviation, range, </w:t>
      </w:r>
      <w:r w:rsidRPr="00423138">
        <w:rPr>
          <w:rFonts w:asciiTheme="majorBidi" w:hAnsiTheme="majorBidi" w:cstheme="majorBidi"/>
          <w:sz w:val="24"/>
          <w:szCs w:val="24"/>
          <w:cs/>
          <w:lang w:bidi="ar-EG"/>
        </w:rPr>
        <w:t>‎</w:t>
      </w:r>
      <w:r w:rsidRPr="00423138">
        <w:rPr>
          <w:rFonts w:asciiTheme="majorBidi" w:hAnsiTheme="majorBidi" w:cstheme="majorBidi"/>
          <w:sz w:val="24"/>
          <w:szCs w:val="24"/>
          <w:lang w:bidi="ar-EG"/>
        </w:rPr>
        <w:t xml:space="preserve">frequency, and percentage were use as descriptive statistics. The accepted level of significance was 0.05. The following tests were done: Chi-Square test Χ² was used to test the association variables for categorical data. Student's t-test was used to assess the statistical significance of the difference between two population means in a study involving independent samples, with normal distribution. One way ANOVA test was used to assess the statistical significance of the difference between </w:t>
      </w:r>
      <w:r w:rsidRPr="00423138">
        <w:rPr>
          <w:rFonts w:asciiTheme="majorBidi" w:hAnsiTheme="majorBidi" w:cstheme="majorBidi"/>
          <w:sz w:val="24"/>
          <w:szCs w:val="24"/>
          <w:lang w:bidi="ar-EG"/>
        </w:rPr>
        <w:lastRenderedPageBreak/>
        <w:t>more than two population means in a study involving independent samples, with normal distribution. Spearman’s correlation coefficient: it evaluates the linear association between 2 quantitative variables (one is the independent variable X, and the other is the dependent variable. Y).</w:t>
      </w:r>
      <w:r w:rsidRPr="00423138">
        <w:rPr>
          <w:rFonts w:asciiTheme="majorBidi" w:hAnsiTheme="majorBidi" w:cstheme="majorBidi"/>
          <w:sz w:val="24"/>
          <w:szCs w:val="24"/>
          <w:lang w:val="en-GB"/>
        </w:rPr>
        <w:t xml:space="preserve"> </w:t>
      </w:r>
      <w:proofErr w:type="gramStart"/>
      <w:r w:rsidRPr="00423138">
        <w:rPr>
          <w:rFonts w:asciiTheme="majorBidi" w:hAnsiTheme="majorBidi" w:cstheme="majorBidi"/>
          <w:iCs/>
          <w:sz w:val="24"/>
          <w:szCs w:val="24"/>
          <w:lang w:val="en-GB" w:bidi="ar-EG"/>
        </w:rPr>
        <w:t>The</w:t>
      </w:r>
      <w:proofErr w:type="gramEnd"/>
      <w:r w:rsidRPr="00423138">
        <w:rPr>
          <w:rFonts w:asciiTheme="majorBidi" w:hAnsiTheme="majorBidi" w:cstheme="majorBidi"/>
          <w:iCs/>
          <w:sz w:val="24"/>
          <w:szCs w:val="24"/>
          <w:lang w:val="en-GB" w:bidi="ar-EG"/>
        </w:rPr>
        <w:t xml:space="preserve"> receiver operating characteristic (ROC) curve provides a useful way to evaluate the sensitivity and specificity of quantitative diagnostic measures that categorize cases into one of two groups. The optimum cut-off point is defined as that which maximizes the area under the curve (AUC) value. AUC &gt; 0.9 has high accuracy, while 0.7–0.9 indicates moderate accuracy, 0.5–0.7, low accuracy and 0.5 a chance result. Logistic regression analysis was used for the prediction of risk factors when the dependent variable is categorical, using generalized linear models. An odds ratio (OR) is a measure of the association between an exposure and an outcome. Probability of results; A p-value is considered significant if (&lt;0.05) at the confidence interval of 95%, or highly significant if (p&lt;0.001).</w:t>
      </w:r>
    </w:p>
    <w:p w:rsidR="003336A9" w:rsidRPr="00423138" w:rsidRDefault="00423138" w:rsidP="003336A9">
      <w:pPr>
        <w:bidi w:val="0"/>
        <w:spacing w:after="120" w:line="240" w:lineRule="auto"/>
        <w:rPr>
          <w:rFonts w:asciiTheme="majorBidi" w:hAnsiTheme="majorBidi" w:cstheme="majorBidi"/>
          <w:b/>
          <w:bCs/>
          <w:sz w:val="24"/>
          <w:szCs w:val="24"/>
          <w:u w:val="single"/>
          <w:lang w:bidi="ar-EG"/>
        </w:rPr>
      </w:pPr>
      <w:r w:rsidRPr="00423138">
        <w:rPr>
          <w:rFonts w:asciiTheme="majorBidi" w:hAnsiTheme="majorBidi" w:cstheme="majorBidi"/>
          <w:b/>
          <w:bCs/>
          <w:sz w:val="24"/>
          <w:szCs w:val="24"/>
          <w:u w:val="single"/>
          <w:lang w:bidi="ar-EG"/>
        </w:rPr>
        <w:t xml:space="preserve">Results </w:t>
      </w:r>
    </w:p>
    <w:p w:rsidR="009D5AD0" w:rsidRPr="009D5AD0" w:rsidRDefault="009D5AD0" w:rsidP="00A6531D">
      <w:pPr>
        <w:bidi w:val="0"/>
        <w:spacing w:after="120" w:line="240" w:lineRule="auto"/>
        <w:jc w:val="lowKashida"/>
        <w:rPr>
          <w:rFonts w:asciiTheme="majorBidi" w:hAnsiTheme="majorBidi" w:cstheme="majorBidi"/>
          <w:b/>
          <w:bCs/>
          <w:sz w:val="24"/>
          <w:szCs w:val="24"/>
          <w:lang w:bidi="ar-EG"/>
        </w:rPr>
      </w:pPr>
      <w:r w:rsidRPr="009D5AD0">
        <w:rPr>
          <w:rFonts w:asciiTheme="majorBidi" w:hAnsiTheme="majorBidi" w:cstheme="majorBidi"/>
          <w:sz w:val="24"/>
          <w:szCs w:val="24"/>
          <w:lang w:bidi="ar-EG"/>
        </w:rPr>
        <w:t xml:space="preserve">This study included 80 children with gastritis divided into two subgroups; H. pylori positive group and </w:t>
      </w:r>
      <w:proofErr w:type="spellStart"/>
      <w:r w:rsidRPr="009D5AD0">
        <w:rPr>
          <w:rFonts w:asciiTheme="majorBidi" w:hAnsiTheme="majorBidi" w:cstheme="majorBidi"/>
          <w:sz w:val="24"/>
          <w:szCs w:val="24"/>
          <w:lang w:bidi="ar-EG"/>
        </w:rPr>
        <w:t>H.pylori</w:t>
      </w:r>
      <w:proofErr w:type="spellEnd"/>
      <w:r w:rsidRPr="009D5AD0">
        <w:rPr>
          <w:rFonts w:asciiTheme="majorBidi" w:hAnsiTheme="majorBidi" w:cstheme="majorBidi"/>
          <w:sz w:val="24"/>
          <w:szCs w:val="24"/>
          <w:lang w:bidi="ar-EG"/>
        </w:rPr>
        <w:t xml:space="preserve"> negative group. And 80 healthy children as a control group</w:t>
      </w:r>
      <w:r>
        <w:rPr>
          <w:rFonts w:asciiTheme="majorBidi" w:hAnsiTheme="majorBidi" w:cstheme="majorBidi"/>
          <w:sz w:val="24"/>
          <w:szCs w:val="24"/>
          <w:lang w:bidi="ar-EG"/>
        </w:rPr>
        <w:t>. T</w:t>
      </w:r>
      <w:r w:rsidRPr="009D5AD0">
        <w:rPr>
          <w:rFonts w:asciiTheme="majorBidi" w:hAnsiTheme="majorBidi" w:cstheme="majorBidi"/>
          <w:sz w:val="24"/>
          <w:szCs w:val="24"/>
          <w:lang w:bidi="ar-EG"/>
        </w:rPr>
        <w:t>here was no statistical significant difference between the studied groups regarding age, sex or residence.</w:t>
      </w:r>
      <w:r>
        <w:rPr>
          <w:rFonts w:asciiTheme="majorBidi" w:hAnsiTheme="majorBidi" w:cstheme="majorBidi"/>
          <w:sz w:val="24"/>
          <w:szCs w:val="24"/>
          <w:lang w:bidi="ar-EG"/>
        </w:rPr>
        <w:t xml:space="preserve"> </w:t>
      </w:r>
      <w:r w:rsidRPr="009D5AD0">
        <w:rPr>
          <w:rFonts w:asciiTheme="majorBidi" w:hAnsiTheme="majorBidi" w:cstheme="majorBidi"/>
          <w:b/>
          <w:bCs/>
          <w:sz w:val="24"/>
          <w:szCs w:val="24"/>
          <w:lang w:bidi="ar-EG"/>
        </w:rPr>
        <w:t>Table 1.</w:t>
      </w:r>
    </w:p>
    <w:p w:rsidR="0090563F" w:rsidRPr="0090563F" w:rsidRDefault="009D5AD0" w:rsidP="00A6531D">
      <w:pPr>
        <w:bidi w:val="0"/>
        <w:spacing w:after="120" w:line="240" w:lineRule="auto"/>
        <w:jc w:val="lowKashida"/>
        <w:rPr>
          <w:rFonts w:asciiTheme="majorBidi" w:hAnsiTheme="majorBidi" w:cstheme="majorBidi"/>
          <w:b/>
          <w:bCs/>
          <w:sz w:val="24"/>
          <w:szCs w:val="24"/>
          <w:lang w:bidi="ar-EG"/>
        </w:rPr>
      </w:pPr>
      <w:r>
        <w:rPr>
          <w:rFonts w:asciiTheme="majorBidi" w:hAnsiTheme="majorBidi" w:cstheme="majorBidi"/>
          <w:sz w:val="24"/>
          <w:szCs w:val="24"/>
          <w:lang w:bidi="ar-EG"/>
        </w:rPr>
        <w:t>C</w:t>
      </w:r>
      <w:r w:rsidR="0090563F" w:rsidRPr="0090563F">
        <w:rPr>
          <w:rFonts w:asciiTheme="majorBidi" w:hAnsiTheme="majorBidi" w:cstheme="majorBidi"/>
          <w:sz w:val="24"/>
          <w:szCs w:val="24"/>
          <w:lang w:bidi="ar-EG"/>
        </w:rPr>
        <w:t>hildren with H pylori positive had statistically lower mRNA 204 compared to children with H pylori negative and controls</w:t>
      </w:r>
      <w:r>
        <w:rPr>
          <w:rFonts w:asciiTheme="majorBidi" w:hAnsiTheme="majorBidi" w:cstheme="majorBidi"/>
          <w:sz w:val="24"/>
          <w:szCs w:val="24"/>
          <w:lang w:bidi="ar-EG"/>
        </w:rPr>
        <w:t xml:space="preserve"> (Mean</w:t>
      </w:r>
      <w:r w:rsidRPr="009D5AD0">
        <w:rPr>
          <w:rFonts w:asciiTheme="majorBidi" w:hAnsiTheme="majorBidi" w:cstheme="majorBidi"/>
          <w:sz w:val="24"/>
          <w:szCs w:val="24"/>
          <w:lang w:bidi="ar-EG"/>
        </w:rPr>
        <w:t>±SD</w:t>
      </w:r>
      <w:r>
        <w:rPr>
          <w:rFonts w:asciiTheme="majorBidi" w:hAnsiTheme="majorBidi" w:cstheme="majorBidi"/>
          <w:sz w:val="24"/>
          <w:szCs w:val="24"/>
          <w:lang w:bidi="ar-EG"/>
        </w:rPr>
        <w:t xml:space="preserve"> was </w:t>
      </w:r>
      <w:r w:rsidRPr="009D5AD0">
        <w:rPr>
          <w:rFonts w:asciiTheme="majorBidi" w:hAnsiTheme="majorBidi" w:cstheme="majorBidi"/>
          <w:sz w:val="24"/>
          <w:szCs w:val="24"/>
          <w:lang w:bidi="ar-EG"/>
        </w:rPr>
        <w:t>3.8 ±1.9</w:t>
      </w:r>
      <w:r>
        <w:rPr>
          <w:rFonts w:asciiTheme="majorBidi" w:hAnsiTheme="majorBidi" w:cstheme="majorBidi"/>
          <w:sz w:val="24"/>
          <w:szCs w:val="24"/>
          <w:lang w:bidi="ar-EG"/>
        </w:rPr>
        <w:t xml:space="preserve">, </w:t>
      </w:r>
      <w:r w:rsidRPr="009D5AD0">
        <w:rPr>
          <w:rFonts w:asciiTheme="majorBidi" w:hAnsiTheme="majorBidi" w:cstheme="majorBidi"/>
          <w:sz w:val="24"/>
          <w:szCs w:val="24"/>
          <w:lang w:bidi="ar-EG"/>
        </w:rPr>
        <w:t>6.8 ±2.2</w:t>
      </w:r>
      <w:r>
        <w:rPr>
          <w:rFonts w:asciiTheme="majorBidi" w:hAnsiTheme="majorBidi" w:cstheme="majorBidi"/>
          <w:sz w:val="24"/>
          <w:szCs w:val="24"/>
          <w:lang w:bidi="ar-EG"/>
        </w:rPr>
        <w:t xml:space="preserve">, </w:t>
      </w:r>
      <w:r w:rsidRPr="009D5AD0">
        <w:rPr>
          <w:rFonts w:asciiTheme="majorBidi" w:hAnsiTheme="majorBidi" w:cstheme="majorBidi"/>
          <w:sz w:val="24"/>
          <w:szCs w:val="24"/>
          <w:lang w:bidi="ar-EG"/>
        </w:rPr>
        <w:t>10.5 ±2.4</w:t>
      </w:r>
      <w:r>
        <w:rPr>
          <w:rFonts w:asciiTheme="majorBidi" w:hAnsiTheme="majorBidi" w:cstheme="majorBidi"/>
          <w:sz w:val="24"/>
          <w:szCs w:val="24"/>
          <w:lang w:bidi="ar-EG"/>
        </w:rPr>
        <w:t xml:space="preserve">, respectively, p&lt;0.001), </w:t>
      </w:r>
      <w:r w:rsidRPr="009D5AD0">
        <w:rPr>
          <w:rFonts w:asciiTheme="majorBidi" w:hAnsiTheme="majorBidi" w:cstheme="majorBidi"/>
          <w:b/>
          <w:bCs/>
          <w:sz w:val="24"/>
          <w:szCs w:val="24"/>
          <w:lang w:bidi="ar-EG"/>
        </w:rPr>
        <w:t>Figure 1</w:t>
      </w:r>
      <w:r>
        <w:rPr>
          <w:rFonts w:asciiTheme="majorBidi" w:hAnsiTheme="majorBidi" w:cstheme="majorBidi"/>
          <w:sz w:val="24"/>
          <w:szCs w:val="24"/>
          <w:lang w:bidi="ar-EG"/>
        </w:rPr>
        <w:t>.</w:t>
      </w:r>
      <w:r w:rsidR="0090563F" w:rsidRPr="0090563F">
        <w:rPr>
          <w:rFonts w:asciiTheme="majorBidi" w:hAnsiTheme="majorBidi" w:cstheme="majorBidi"/>
          <w:b/>
          <w:bCs/>
          <w:sz w:val="24"/>
          <w:szCs w:val="24"/>
          <w:lang w:bidi="ar-EG"/>
        </w:rPr>
        <w:t xml:space="preserve"> </w:t>
      </w:r>
      <w:r w:rsidR="0090563F" w:rsidRPr="0090563F">
        <w:rPr>
          <w:rFonts w:asciiTheme="majorBidi" w:hAnsiTheme="majorBidi" w:cstheme="majorBidi"/>
          <w:sz w:val="24"/>
          <w:szCs w:val="24"/>
          <w:lang w:bidi="ar-EG"/>
        </w:rPr>
        <w:t>Children with H pylori positive had statistically higher mRNA 155 compared to children with H pylori negative and controls</w:t>
      </w:r>
      <w:r>
        <w:rPr>
          <w:rFonts w:asciiTheme="majorBidi" w:hAnsiTheme="majorBidi" w:cstheme="majorBidi"/>
          <w:sz w:val="24"/>
          <w:szCs w:val="24"/>
          <w:lang w:bidi="ar-EG"/>
        </w:rPr>
        <w:t xml:space="preserve"> (</w:t>
      </w:r>
      <w:r w:rsidRPr="009D5AD0">
        <w:rPr>
          <w:rFonts w:asciiTheme="majorBidi" w:hAnsiTheme="majorBidi" w:cstheme="majorBidi"/>
          <w:sz w:val="24"/>
          <w:szCs w:val="24"/>
          <w:lang w:bidi="ar-EG"/>
        </w:rPr>
        <w:t>Mean±SD</w:t>
      </w:r>
      <w:r>
        <w:rPr>
          <w:rFonts w:asciiTheme="majorBidi" w:hAnsiTheme="majorBidi" w:cstheme="majorBidi"/>
          <w:sz w:val="24"/>
          <w:szCs w:val="24"/>
          <w:lang w:bidi="ar-EG"/>
        </w:rPr>
        <w:t xml:space="preserve"> was </w:t>
      </w:r>
      <w:r w:rsidRPr="009D5AD0">
        <w:rPr>
          <w:rFonts w:asciiTheme="majorBidi" w:hAnsiTheme="majorBidi" w:cstheme="majorBidi"/>
          <w:sz w:val="24"/>
          <w:szCs w:val="24"/>
          <w:lang w:bidi="ar-EG"/>
        </w:rPr>
        <w:t>13.3 ±4</w:t>
      </w:r>
      <w:r>
        <w:rPr>
          <w:rFonts w:asciiTheme="majorBidi" w:hAnsiTheme="majorBidi" w:cstheme="majorBidi"/>
          <w:sz w:val="24"/>
          <w:szCs w:val="24"/>
          <w:lang w:bidi="ar-EG"/>
        </w:rPr>
        <w:t xml:space="preserve">, </w:t>
      </w:r>
      <w:r w:rsidRPr="009D5AD0">
        <w:rPr>
          <w:rFonts w:asciiTheme="majorBidi" w:hAnsiTheme="majorBidi" w:cstheme="majorBidi"/>
          <w:sz w:val="24"/>
          <w:szCs w:val="24"/>
          <w:lang w:bidi="ar-EG"/>
        </w:rPr>
        <w:t>5.1 ±2.5</w:t>
      </w:r>
      <w:r>
        <w:rPr>
          <w:rFonts w:asciiTheme="majorBidi" w:hAnsiTheme="majorBidi" w:cstheme="majorBidi"/>
          <w:sz w:val="24"/>
          <w:szCs w:val="24"/>
          <w:lang w:bidi="ar-EG"/>
        </w:rPr>
        <w:t xml:space="preserve">, </w:t>
      </w:r>
      <w:r w:rsidRPr="009D5AD0">
        <w:rPr>
          <w:rFonts w:asciiTheme="majorBidi" w:hAnsiTheme="majorBidi" w:cstheme="majorBidi"/>
          <w:sz w:val="24"/>
          <w:szCs w:val="24"/>
          <w:lang w:bidi="ar-EG"/>
        </w:rPr>
        <w:t>1.8 ±0.6</w:t>
      </w:r>
      <w:r>
        <w:rPr>
          <w:rFonts w:asciiTheme="majorBidi" w:hAnsiTheme="majorBidi" w:cstheme="majorBidi"/>
          <w:sz w:val="24"/>
          <w:szCs w:val="24"/>
          <w:lang w:bidi="ar-EG"/>
        </w:rPr>
        <w:t xml:space="preserve">, respectively, p&lt;0.001), </w:t>
      </w:r>
      <w:r w:rsidRPr="009D5AD0">
        <w:rPr>
          <w:rFonts w:asciiTheme="majorBidi" w:hAnsiTheme="majorBidi" w:cstheme="majorBidi"/>
          <w:b/>
          <w:bCs/>
          <w:sz w:val="24"/>
          <w:szCs w:val="24"/>
          <w:lang w:bidi="ar-EG"/>
        </w:rPr>
        <w:t>figure 2.</w:t>
      </w:r>
    </w:p>
    <w:p w:rsidR="009D5AD0" w:rsidRDefault="0090563F" w:rsidP="00A6531D">
      <w:pPr>
        <w:bidi w:val="0"/>
        <w:spacing w:after="120" w:line="240" w:lineRule="auto"/>
        <w:jc w:val="lowKashida"/>
        <w:rPr>
          <w:rFonts w:asciiTheme="majorBidi" w:hAnsiTheme="majorBidi" w:cstheme="majorBidi"/>
          <w:b/>
          <w:bCs/>
          <w:sz w:val="24"/>
          <w:szCs w:val="24"/>
          <w:lang w:bidi="ar-EG"/>
        </w:rPr>
      </w:pPr>
      <w:proofErr w:type="gramStart"/>
      <w:r w:rsidRPr="0090563F">
        <w:rPr>
          <w:rFonts w:asciiTheme="majorBidi" w:hAnsiTheme="majorBidi" w:cstheme="majorBidi"/>
          <w:sz w:val="24"/>
          <w:szCs w:val="24"/>
          <w:lang w:bidi="ar-EG"/>
        </w:rPr>
        <w:t>mRNA-204</w:t>
      </w:r>
      <w:proofErr w:type="gramEnd"/>
      <w:r w:rsidRPr="0090563F">
        <w:rPr>
          <w:rFonts w:asciiTheme="majorBidi" w:hAnsiTheme="majorBidi" w:cstheme="majorBidi"/>
          <w:sz w:val="24"/>
          <w:szCs w:val="24"/>
          <w:lang w:bidi="ar-EG"/>
        </w:rPr>
        <w:t xml:space="preserve"> decreased significantly with increasing the grade of gastritis, and with grades of H pylori infection</w:t>
      </w:r>
      <w:r w:rsidRPr="0090563F">
        <w:rPr>
          <w:rFonts w:asciiTheme="majorBidi" w:hAnsiTheme="majorBidi" w:cstheme="majorBidi"/>
          <w:b/>
          <w:bCs/>
          <w:sz w:val="24"/>
          <w:szCs w:val="24"/>
          <w:lang w:bidi="ar-EG"/>
        </w:rPr>
        <w:t xml:space="preserve"> </w:t>
      </w:r>
      <w:r w:rsidRPr="0090563F">
        <w:rPr>
          <w:rFonts w:asciiTheme="majorBidi" w:hAnsiTheme="majorBidi" w:cstheme="majorBidi"/>
          <w:sz w:val="24"/>
          <w:szCs w:val="24"/>
          <w:lang w:bidi="ar-EG"/>
        </w:rPr>
        <w:t xml:space="preserve">(H pylori in stool, biopsy reported in stomach and H pylori infection). While there was no significant difference in miRNA-204 regarding esophagitis or </w:t>
      </w:r>
      <w:proofErr w:type="spellStart"/>
      <w:r w:rsidRPr="0090563F">
        <w:rPr>
          <w:rFonts w:asciiTheme="majorBidi" w:hAnsiTheme="majorBidi" w:cstheme="majorBidi"/>
          <w:sz w:val="24"/>
          <w:szCs w:val="24"/>
          <w:lang w:bidi="ar-EG"/>
        </w:rPr>
        <w:t>duodenitis</w:t>
      </w:r>
      <w:proofErr w:type="spellEnd"/>
      <w:r w:rsidRPr="0090563F">
        <w:rPr>
          <w:rFonts w:asciiTheme="majorBidi" w:hAnsiTheme="majorBidi" w:cstheme="majorBidi"/>
          <w:sz w:val="24"/>
          <w:szCs w:val="24"/>
          <w:lang w:bidi="ar-EG"/>
        </w:rPr>
        <w:t>.</w:t>
      </w:r>
      <w:r w:rsidR="009D5AD0">
        <w:rPr>
          <w:rFonts w:asciiTheme="majorBidi" w:hAnsiTheme="majorBidi" w:cstheme="majorBidi"/>
          <w:b/>
          <w:bCs/>
          <w:sz w:val="24"/>
          <w:szCs w:val="24"/>
          <w:lang w:bidi="ar-EG"/>
        </w:rPr>
        <w:t xml:space="preserve"> Table 2</w:t>
      </w:r>
    </w:p>
    <w:p w:rsidR="0090563F" w:rsidRPr="0090563F" w:rsidRDefault="0090563F" w:rsidP="00A6531D">
      <w:pPr>
        <w:bidi w:val="0"/>
        <w:spacing w:after="120" w:line="240" w:lineRule="auto"/>
        <w:jc w:val="lowKashida"/>
        <w:rPr>
          <w:rFonts w:asciiTheme="majorBidi" w:hAnsiTheme="majorBidi" w:cstheme="majorBidi"/>
          <w:sz w:val="24"/>
          <w:szCs w:val="24"/>
          <w:lang w:bidi="ar-EG"/>
        </w:rPr>
      </w:pPr>
      <w:proofErr w:type="gramStart"/>
      <w:r w:rsidRPr="0090563F">
        <w:rPr>
          <w:rFonts w:asciiTheme="majorBidi" w:hAnsiTheme="majorBidi" w:cstheme="majorBidi"/>
          <w:sz w:val="24"/>
          <w:szCs w:val="24"/>
          <w:lang w:bidi="ar-EG"/>
        </w:rPr>
        <w:t>between</w:t>
      </w:r>
      <w:proofErr w:type="gramEnd"/>
      <w:r w:rsidRPr="0090563F">
        <w:rPr>
          <w:rFonts w:asciiTheme="majorBidi" w:hAnsiTheme="majorBidi" w:cstheme="majorBidi"/>
          <w:sz w:val="24"/>
          <w:szCs w:val="24"/>
          <w:lang w:bidi="ar-EG"/>
        </w:rPr>
        <w:t xml:space="preserve"> mRNA 204 and (mRNA 155), there was no statistical significant positive correlation between mRNA 204 and (hemoglobin). While there was no statistical difference between mRNA and age, weight, height, BMI, platelets, WBCs. </w:t>
      </w:r>
      <w:r w:rsidR="009D5AD0" w:rsidRPr="009D5AD0">
        <w:rPr>
          <w:rFonts w:asciiTheme="majorBidi" w:hAnsiTheme="majorBidi" w:cstheme="majorBidi"/>
          <w:b/>
          <w:bCs/>
          <w:sz w:val="24"/>
          <w:szCs w:val="24"/>
          <w:lang w:bidi="ar-EG"/>
        </w:rPr>
        <w:t>Table 3</w:t>
      </w:r>
    </w:p>
    <w:p w:rsidR="0090563F" w:rsidRDefault="0090563F" w:rsidP="00A6531D">
      <w:pPr>
        <w:bidi w:val="0"/>
        <w:spacing w:after="120" w:line="240" w:lineRule="auto"/>
        <w:jc w:val="lowKashida"/>
        <w:rPr>
          <w:rFonts w:asciiTheme="majorBidi" w:hAnsiTheme="majorBidi" w:cstheme="majorBidi"/>
          <w:b/>
          <w:bCs/>
          <w:sz w:val="24"/>
          <w:szCs w:val="24"/>
          <w:lang w:bidi="ar-EG"/>
        </w:rPr>
      </w:pPr>
      <w:proofErr w:type="gramStart"/>
      <w:r w:rsidRPr="0090563F">
        <w:rPr>
          <w:rFonts w:asciiTheme="majorBidi" w:hAnsiTheme="majorBidi" w:cstheme="majorBidi"/>
          <w:sz w:val="24"/>
          <w:szCs w:val="24"/>
          <w:lang w:bidi="ar-EG"/>
        </w:rPr>
        <w:t>mRNA-155</w:t>
      </w:r>
      <w:proofErr w:type="gramEnd"/>
      <w:r w:rsidRPr="0090563F">
        <w:rPr>
          <w:rFonts w:asciiTheme="majorBidi" w:hAnsiTheme="majorBidi" w:cstheme="majorBidi"/>
          <w:sz w:val="24"/>
          <w:szCs w:val="24"/>
          <w:lang w:bidi="ar-EG"/>
        </w:rPr>
        <w:t xml:space="preserve"> increased significantly with increasing the grade of gastritis, and with grades of H pylori infection</w:t>
      </w:r>
      <w:r w:rsidRPr="0090563F">
        <w:rPr>
          <w:rFonts w:asciiTheme="majorBidi" w:hAnsiTheme="majorBidi" w:cstheme="majorBidi"/>
          <w:b/>
          <w:bCs/>
          <w:sz w:val="24"/>
          <w:szCs w:val="24"/>
          <w:lang w:bidi="ar-EG"/>
        </w:rPr>
        <w:t xml:space="preserve"> </w:t>
      </w:r>
      <w:r w:rsidRPr="0090563F">
        <w:rPr>
          <w:rFonts w:asciiTheme="majorBidi" w:hAnsiTheme="majorBidi" w:cstheme="majorBidi"/>
          <w:sz w:val="24"/>
          <w:szCs w:val="24"/>
          <w:lang w:bidi="ar-EG"/>
        </w:rPr>
        <w:t xml:space="preserve">(H pylori in stool, biopsy reported in stomach and H pylori infection). While there was no significant difference in miRNA-155 regarding esophagitis or </w:t>
      </w:r>
      <w:proofErr w:type="spellStart"/>
      <w:r w:rsidRPr="0090563F">
        <w:rPr>
          <w:rFonts w:asciiTheme="majorBidi" w:hAnsiTheme="majorBidi" w:cstheme="majorBidi"/>
          <w:sz w:val="24"/>
          <w:szCs w:val="24"/>
          <w:lang w:bidi="ar-EG"/>
        </w:rPr>
        <w:t>duodenitis</w:t>
      </w:r>
      <w:proofErr w:type="spellEnd"/>
      <w:r w:rsidRPr="0090563F">
        <w:rPr>
          <w:rFonts w:asciiTheme="majorBidi" w:hAnsiTheme="majorBidi" w:cstheme="majorBidi"/>
          <w:sz w:val="24"/>
          <w:szCs w:val="24"/>
          <w:lang w:bidi="ar-EG"/>
        </w:rPr>
        <w:t>.</w:t>
      </w:r>
      <w:r w:rsidR="009D5AD0">
        <w:rPr>
          <w:rFonts w:asciiTheme="majorBidi" w:hAnsiTheme="majorBidi" w:cstheme="majorBidi"/>
          <w:b/>
          <w:bCs/>
          <w:sz w:val="24"/>
          <w:szCs w:val="24"/>
          <w:lang w:bidi="ar-EG"/>
        </w:rPr>
        <w:t xml:space="preserve"> Table 4</w:t>
      </w:r>
    </w:p>
    <w:p w:rsidR="0090563F" w:rsidRPr="0090563F" w:rsidRDefault="009D5AD0" w:rsidP="00A6531D">
      <w:pPr>
        <w:bidi w:val="0"/>
        <w:spacing w:after="120" w:line="240" w:lineRule="auto"/>
        <w:jc w:val="lowKashida"/>
        <w:rPr>
          <w:rFonts w:asciiTheme="majorBidi" w:hAnsiTheme="majorBidi" w:cstheme="majorBidi"/>
          <w:sz w:val="24"/>
          <w:szCs w:val="24"/>
          <w:lang w:bidi="ar-EG"/>
        </w:rPr>
      </w:pPr>
      <w:r>
        <w:rPr>
          <w:rFonts w:asciiTheme="majorBidi" w:hAnsiTheme="majorBidi" w:cstheme="majorBidi"/>
          <w:sz w:val="24"/>
          <w:szCs w:val="24"/>
          <w:lang w:bidi="ar-EG"/>
        </w:rPr>
        <w:t>T</w:t>
      </w:r>
      <w:r w:rsidR="0090563F" w:rsidRPr="0090563F">
        <w:rPr>
          <w:rFonts w:asciiTheme="majorBidi" w:hAnsiTheme="majorBidi" w:cstheme="majorBidi"/>
          <w:sz w:val="24"/>
          <w:szCs w:val="24"/>
          <w:lang w:bidi="ar-EG"/>
        </w:rPr>
        <w:t xml:space="preserve">here was statistical significant negative correlation between mRNA 155 and (mRNA 204), there was no statistical significant negative correlation between mRNA 155 and (weight, BMI, hemoglobin). While there was no statistical difference between mRNA and age, height, platelets, WBCs.  </w:t>
      </w:r>
      <w:r w:rsidRPr="009D5AD0">
        <w:rPr>
          <w:rFonts w:asciiTheme="majorBidi" w:hAnsiTheme="majorBidi" w:cstheme="majorBidi"/>
          <w:b/>
          <w:bCs/>
          <w:sz w:val="24"/>
          <w:szCs w:val="24"/>
          <w:lang w:bidi="ar-EG"/>
        </w:rPr>
        <w:t>Table 5</w:t>
      </w:r>
    </w:p>
    <w:p w:rsidR="0090563F" w:rsidRPr="0090563F" w:rsidRDefault="0090563F" w:rsidP="00A6531D">
      <w:pPr>
        <w:bidi w:val="0"/>
        <w:spacing w:after="120" w:line="240" w:lineRule="auto"/>
        <w:jc w:val="lowKashida"/>
        <w:rPr>
          <w:rFonts w:asciiTheme="majorBidi" w:hAnsiTheme="majorBidi" w:cstheme="majorBidi"/>
          <w:sz w:val="24"/>
          <w:szCs w:val="24"/>
          <w:lang w:bidi="ar-EG"/>
        </w:rPr>
      </w:pPr>
      <w:r w:rsidRPr="0090563F">
        <w:rPr>
          <w:rFonts w:asciiTheme="majorBidi" w:hAnsiTheme="majorBidi" w:cstheme="majorBidi"/>
          <w:sz w:val="24"/>
          <w:szCs w:val="24"/>
          <w:lang w:bidi="ar-EG"/>
        </w:rPr>
        <w:t xml:space="preserve">ROC analysis was done to assess the performance of mRNA-204 and mRNA-155 to detect H. pylori infection; regarding mRNA 204; AUC was 0.826 (95% confidence interval: 0.725-0.916), p&lt;0.001. At a cutoff point &lt; 4.8, the sensitivity was 77.5% and specificity was 80.8%. Regarding mRNA-155; AUC was 0.952 (95% confidence interval: 0.909-1), p&lt;0.001. At a cutoff point &gt;6.6, the sensitivity was 91.8% and specificity was 81.6%. </w:t>
      </w:r>
      <w:r w:rsidR="009D5AD0" w:rsidRPr="009D5AD0">
        <w:rPr>
          <w:rFonts w:asciiTheme="majorBidi" w:hAnsiTheme="majorBidi" w:cstheme="majorBidi"/>
          <w:b/>
          <w:bCs/>
          <w:sz w:val="24"/>
          <w:szCs w:val="24"/>
          <w:lang w:bidi="ar-EG"/>
        </w:rPr>
        <w:t>Figure 3.</w:t>
      </w:r>
    </w:p>
    <w:p w:rsidR="005F2238" w:rsidRPr="00CE77CD" w:rsidRDefault="009D5AD0" w:rsidP="00CE77CD">
      <w:pPr>
        <w:bidi w:val="0"/>
        <w:spacing w:after="120" w:line="240" w:lineRule="auto"/>
        <w:jc w:val="lowKashida"/>
        <w:rPr>
          <w:rFonts w:asciiTheme="majorBidi" w:hAnsiTheme="majorBidi" w:cstheme="majorBidi"/>
          <w:sz w:val="24"/>
          <w:szCs w:val="24"/>
          <w:lang w:bidi="ar-EG"/>
        </w:rPr>
      </w:pPr>
      <w:r>
        <w:rPr>
          <w:rFonts w:asciiTheme="majorBidi" w:hAnsiTheme="majorBidi" w:cstheme="majorBidi"/>
          <w:sz w:val="24"/>
          <w:szCs w:val="24"/>
          <w:lang w:bidi="ar-EG"/>
        </w:rPr>
        <w:t>I</w:t>
      </w:r>
      <w:r w:rsidR="0090563F" w:rsidRPr="0090563F">
        <w:rPr>
          <w:rFonts w:asciiTheme="majorBidi" w:hAnsiTheme="majorBidi" w:cstheme="majorBidi"/>
          <w:sz w:val="24"/>
          <w:szCs w:val="24"/>
          <w:lang w:bidi="ar-EG"/>
        </w:rPr>
        <w:t xml:space="preserve">n univariate regression analysis, GI bleeding, BMI, H pylori in stool, mRNA 204 and mRNA 155 were significant predictors of risk of H pylori infection in the studied </w:t>
      </w:r>
      <w:r w:rsidR="0090563F" w:rsidRPr="0090563F">
        <w:rPr>
          <w:rFonts w:asciiTheme="majorBidi" w:hAnsiTheme="majorBidi" w:cstheme="majorBidi"/>
          <w:sz w:val="24"/>
          <w:szCs w:val="24"/>
          <w:lang w:bidi="ar-EG"/>
        </w:rPr>
        <w:lastRenderedPageBreak/>
        <w:t>patients. In multivariate regression model, H pylori in stool, mRNA 204 and mRNA 155 were independent predictors of H pylori infection in children.</w:t>
      </w:r>
      <w:r>
        <w:rPr>
          <w:rFonts w:asciiTheme="majorBidi" w:hAnsiTheme="majorBidi" w:cstheme="majorBidi"/>
          <w:sz w:val="24"/>
          <w:szCs w:val="24"/>
          <w:lang w:bidi="ar-EG"/>
        </w:rPr>
        <w:t xml:space="preserve"> </w:t>
      </w:r>
      <w:r w:rsidRPr="009D5AD0">
        <w:rPr>
          <w:rFonts w:asciiTheme="majorBidi" w:hAnsiTheme="majorBidi" w:cstheme="majorBidi"/>
          <w:b/>
          <w:bCs/>
          <w:sz w:val="24"/>
          <w:szCs w:val="24"/>
          <w:lang w:bidi="ar-EG"/>
        </w:rPr>
        <w:t>Table 6</w:t>
      </w:r>
    </w:p>
    <w:p w:rsidR="0090563F" w:rsidRPr="000B3D0D" w:rsidRDefault="000B3D0D" w:rsidP="005F2238">
      <w:pPr>
        <w:bidi w:val="0"/>
        <w:spacing w:after="120" w:line="240" w:lineRule="auto"/>
        <w:rPr>
          <w:rFonts w:asciiTheme="majorBidi" w:hAnsiTheme="majorBidi" w:cstheme="majorBidi"/>
          <w:b/>
          <w:bCs/>
          <w:sz w:val="24"/>
          <w:szCs w:val="24"/>
          <w:u w:val="single"/>
          <w:lang w:bidi="ar-EG"/>
        </w:rPr>
      </w:pPr>
      <w:r w:rsidRPr="000B3D0D">
        <w:rPr>
          <w:rFonts w:asciiTheme="majorBidi" w:hAnsiTheme="majorBidi" w:cstheme="majorBidi"/>
          <w:b/>
          <w:bCs/>
          <w:sz w:val="24"/>
          <w:szCs w:val="24"/>
          <w:u w:val="single"/>
          <w:lang w:bidi="ar-EG"/>
        </w:rPr>
        <w:t>Discussion</w:t>
      </w:r>
    </w:p>
    <w:p w:rsidR="00FF26B6" w:rsidRPr="00FF26B6" w:rsidRDefault="00FF26B6" w:rsidP="00FF26B6">
      <w:pPr>
        <w:bidi w:val="0"/>
        <w:spacing w:after="12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 xml:space="preserve">Recent studies have focused upon molecular modulators of signaling pathways involved in gastric inflammation processes. These have included investigations upon the role of miRNAs, short non-coding RNAs which negatively regulate gene expression at the post-transcriptional level. One of the main functions of miRNAs is the downregulation of protein synthesis, including the ones responsible for cell division inhibition. Thus, alteration of miRNA expression has been linked to abnormal cell division, an important milestone in the initiation and evolution of carcinogenesis </w:t>
      </w:r>
      <w:r w:rsidRPr="00FF26B6">
        <w:rPr>
          <w:rFonts w:asciiTheme="majorBidi" w:hAnsiTheme="majorBidi" w:cstheme="majorBidi"/>
          <w:b/>
          <w:bCs/>
          <w:sz w:val="24"/>
          <w:szCs w:val="24"/>
          <w:lang w:bidi="ar-EG"/>
        </w:rPr>
        <w:fldChar w:fldCharType="begin" w:fldLock="1"/>
      </w:r>
      <w:r w:rsidR="001E5377">
        <w:rPr>
          <w:rFonts w:asciiTheme="majorBidi" w:hAnsiTheme="majorBidi" w:cstheme="majorBidi"/>
          <w:b/>
          <w:bCs/>
          <w:sz w:val="24"/>
          <w:szCs w:val="24"/>
          <w:lang w:bidi="ar-EG"/>
        </w:rPr>
        <w:instrText>ADDIN CSL_CITATION {"citationItems":[{"id":"ITEM-1","itemData":{"ISSN":"1043-6618","author":[{"dropping-particle":"","family":"Xu","given":"Huimei","non-dropping-particle":"","parse-names":false,"suffix":""},{"dropping-particle":"","family":"Huang","given":"Ke","non-dropping-particle":"","parse-names":false,"suffix":""},{"dropping-particle":"","family":"Shi","given":"Mingxuan","non-dropping-particle":"","parse-names":false,"suffix":""},{"dropping-particle":"","family":"Gong","given":"Hang","non-dropping-particle":"","parse-names":false,"suffix":""},{"dropping-particle":"","family":"Han","given":"Mengyu","non-dropping-particle":"","parse-names":false,"suffix":""},{"dropping-particle":"","family":"Tian","given":"Wenji","non-dropping-particle":"","parse-names":false,"suffix":""},{"dropping-particle":"","family":"Wang","given":"Xiaoying","non-dropping-particle":"","parse-names":false,"suffix":""},{"dropping-particle":"","family":"Zhang","given":"Dekui","non-dropping-particle":"","parse-names":false,"suffix":""}],"container-title":"Pharmacological Research","id":"ITEM-1","issued":{"date-parts":[["2024"]]},"page":"107216","publisher":"Elsevier","title":"MicroRNAs in Helicobacter pylori-infected gastric cancer: Function and clinical application","type":"article-journal"},"uris":["http://www.mendeley.com/documents/?uuid=a5c2969f-dcff-4b04-9309-d6bae5a3b0a4"]}],"mendeley":{"formattedCitation":"(5)","plainTextFormattedCitation":"(5)","previouslyFormattedCitation":"(5)"},"properties":{"noteIndex":0},"schema":"https://github.com/citation-style-language/schema/raw/master/csl-citation.json"}</w:instrText>
      </w:r>
      <w:r w:rsidRPr="00FF26B6">
        <w:rPr>
          <w:rFonts w:asciiTheme="majorBidi" w:hAnsiTheme="majorBidi" w:cstheme="majorBidi"/>
          <w:b/>
          <w:bCs/>
          <w:sz w:val="24"/>
          <w:szCs w:val="24"/>
          <w:lang w:bidi="ar-EG"/>
        </w:rPr>
        <w:fldChar w:fldCharType="separate"/>
      </w:r>
      <w:r w:rsidR="00C641F3" w:rsidRPr="00C641F3">
        <w:rPr>
          <w:rFonts w:asciiTheme="majorBidi" w:hAnsiTheme="majorBidi" w:cstheme="majorBidi"/>
          <w:bCs/>
          <w:noProof/>
          <w:sz w:val="24"/>
          <w:szCs w:val="24"/>
          <w:lang w:bidi="ar-EG"/>
        </w:rPr>
        <w:t>(5)</w:t>
      </w:r>
      <w:r w:rsidRPr="00FF26B6">
        <w:rPr>
          <w:rFonts w:asciiTheme="majorBidi" w:hAnsiTheme="majorBidi" w:cstheme="majorBidi"/>
          <w:sz w:val="24"/>
          <w:szCs w:val="24"/>
          <w:lang w:bidi="ar-EG"/>
        </w:rPr>
        <w:fldChar w:fldCharType="end"/>
      </w:r>
      <w:r w:rsidRPr="00FF26B6">
        <w:rPr>
          <w:rFonts w:asciiTheme="majorBidi" w:hAnsiTheme="majorBidi" w:cstheme="majorBidi"/>
          <w:b/>
          <w:bCs/>
          <w:sz w:val="24"/>
          <w:szCs w:val="24"/>
          <w:lang w:bidi="ar-EG"/>
        </w:rPr>
        <w:t>.</w:t>
      </w:r>
      <w:r w:rsidRPr="00FF26B6">
        <w:rPr>
          <w:rFonts w:asciiTheme="majorBidi" w:hAnsiTheme="majorBidi" w:cstheme="majorBidi"/>
          <w:sz w:val="24"/>
          <w:szCs w:val="24"/>
          <w:lang w:bidi="ar-EG"/>
        </w:rPr>
        <w:t xml:space="preserve"> </w:t>
      </w:r>
    </w:p>
    <w:p w:rsidR="000B3D0D" w:rsidRDefault="00FF26B6" w:rsidP="00FF26B6">
      <w:pPr>
        <w:bidi w:val="0"/>
        <w:spacing w:after="12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This study aimed to assess the differential expression of mRNA-155 and mRNA-204 in relation to gastritis, and assess their relation with the presence of H. pylori infection in children</w:t>
      </w:r>
      <w:r>
        <w:rPr>
          <w:rFonts w:asciiTheme="majorBidi" w:hAnsiTheme="majorBidi" w:cstheme="majorBidi"/>
          <w:sz w:val="24"/>
          <w:szCs w:val="24"/>
          <w:lang w:bidi="ar-EG"/>
        </w:rPr>
        <w:t>.</w:t>
      </w:r>
    </w:p>
    <w:p w:rsidR="00FF26B6" w:rsidRPr="00FF26B6" w:rsidRDefault="00FF26B6" w:rsidP="00FF26B6">
      <w:pPr>
        <w:bidi w:val="0"/>
        <w:spacing w:after="12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In the present study, Children with H pylori positive had statistically lower mRNA 204 compared to children with H pylori negative and controls. Children with H pylori positive had statistically higher mRNA 155 compared to children with H pylori negative and controls.</w:t>
      </w:r>
    </w:p>
    <w:p w:rsidR="00FF26B6" w:rsidRPr="00FF26B6" w:rsidRDefault="00FF26B6" w:rsidP="001E5377">
      <w:pPr>
        <w:bidi w:val="0"/>
        <w:spacing w:after="12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Our results were in the same side with</w:t>
      </w:r>
      <w:r w:rsidR="001E5377" w:rsidRPr="001E5377">
        <w:t xml:space="preserve"> </w:t>
      </w:r>
      <w:r w:rsidR="001E5377" w:rsidRPr="001E5377">
        <w:rPr>
          <w:rFonts w:asciiTheme="majorBidi" w:hAnsiTheme="majorBidi" w:cstheme="majorBidi"/>
          <w:sz w:val="24"/>
          <w:szCs w:val="24"/>
          <w:lang w:bidi="ar-EG"/>
        </w:rPr>
        <w:t>Zhou &amp; Xu,</w:t>
      </w:r>
      <w:r w:rsidRPr="00FF26B6">
        <w:rPr>
          <w:rFonts w:asciiTheme="majorBidi" w:hAnsiTheme="majorBidi" w:cstheme="majorBidi"/>
          <w:sz w:val="24"/>
          <w:szCs w:val="24"/>
          <w:lang w:bidi="ar-EG"/>
        </w:rPr>
        <w:t xml:space="preserve"> </w:t>
      </w:r>
      <w:r w:rsidRPr="00FF26B6">
        <w:rPr>
          <w:rFonts w:asciiTheme="majorBidi" w:hAnsiTheme="majorBidi" w:cstheme="majorBidi"/>
          <w:b/>
          <w:bCs/>
          <w:sz w:val="24"/>
          <w:szCs w:val="24"/>
          <w:lang w:bidi="ar-EG"/>
        </w:rPr>
        <w:fldChar w:fldCharType="begin" w:fldLock="1"/>
      </w:r>
      <w:r w:rsidR="001E5377">
        <w:rPr>
          <w:rFonts w:asciiTheme="majorBidi" w:hAnsiTheme="majorBidi" w:cstheme="majorBidi"/>
          <w:b/>
          <w:bCs/>
          <w:sz w:val="24"/>
          <w:szCs w:val="24"/>
          <w:lang w:bidi="ar-EG"/>
        </w:rPr>
        <w:instrText>ADDIN CSL_CITATION {"citationItems":[{"id":"ITEM-1","itemData":{"ISSN":"1792-0981","author":[{"dropping-particle":"","family":"Zhou","given":"Shu","non-dropping-particle":"","parse-names":false,"suffix":""},{"dropping-particle":"","family":"Xu","given":"Ji","non-dropping-particle":"","parse-names":false,"suffix":""}],"container-title":"Experimental and Therapeutic Medicine","id":"ITEM-1","issue":"1","issued":{"date-parts":[["2019"]]},"page":"253-259","publisher":"Spandidos Publications","title":"Downregulation of microRNA‑204 increases the expression of matrix metallopeptidase 9 in pediatric patients with pulpitis and Helicobacter pylori infection in the stomach","type":"article-journal","volume":"18"},"uris":["http://www.mendeley.com/documents/?uuid=9b5a369f-277d-4075-a7da-653b3de5ec4d"]}],"mendeley":{"formattedCitation":"(11)","plainTextFormattedCitation":"(11)","previouslyFormattedCitation":"(11)"},"properties":{"noteIndex":0},"schema":"https://github.com/citation-style-language/schema/raw/master/csl-citation.json"}</w:instrText>
      </w:r>
      <w:r w:rsidRPr="00FF26B6">
        <w:rPr>
          <w:rFonts w:asciiTheme="majorBidi" w:hAnsiTheme="majorBidi" w:cstheme="majorBidi"/>
          <w:b/>
          <w:bCs/>
          <w:sz w:val="24"/>
          <w:szCs w:val="24"/>
          <w:lang w:bidi="ar-EG"/>
        </w:rPr>
        <w:fldChar w:fldCharType="separate"/>
      </w:r>
      <w:r w:rsidR="001E5377" w:rsidRPr="001E5377">
        <w:rPr>
          <w:rFonts w:asciiTheme="majorBidi" w:hAnsiTheme="majorBidi" w:cstheme="majorBidi"/>
          <w:bCs/>
          <w:noProof/>
          <w:sz w:val="24"/>
          <w:szCs w:val="24"/>
          <w:lang w:bidi="ar-EG"/>
        </w:rPr>
        <w:t>(11)</w:t>
      </w:r>
      <w:r w:rsidRPr="00FF26B6">
        <w:rPr>
          <w:rFonts w:asciiTheme="majorBidi" w:hAnsiTheme="majorBidi" w:cstheme="majorBidi"/>
          <w:sz w:val="24"/>
          <w:szCs w:val="24"/>
          <w:lang w:bidi="ar-EG"/>
        </w:rPr>
        <w:fldChar w:fldCharType="end"/>
      </w:r>
      <w:r w:rsidRPr="00FF26B6">
        <w:rPr>
          <w:rFonts w:asciiTheme="majorBidi" w:hAnsiTheme="majorBidi" w:cstheme="majorBidi"/>
          <w:b/>
          <w:bCs/>
          <w:sz w:val="24"/>
          <w:szCs w:val="24"/>
          <w:lang w:bidi="ar-EG"/>
        </w:rPr>
        <w:t>,</w:t>
      </w:r>
      <w:r w:rsidR="001E5377">
        <w:rPr>
          <w:rFonts w:asciiTheme="majorBidi" w:hAnsiTheme="majorBidi" w:cstheme="majorBidi"/>
          <w:sz w:val="24"/>
          <w:szCs w:val="24"/>
          <w:lang w:bidi="ar-EG"/>
        </w:rPr>
        <w:t xml:space="preserve"> </w:t>
      </w:r>
      <w:r w:rsidR="001E5377" w:rsidRPr="00FF26B6">
        <w:rPr>
          <w:rFonts w:asciiTheme="majorBidi" w:hAnsiTheme="majorBidi" w:cstheme="majorBidi"/>
          <w:sz w:val="24"/>
          <w:szCs w:val="24"/>
          <w:lang w:bidi="ar-EG"/>
        </w:rPr>
        <w:t xml:space="preserve">who studied </w:t>
      </w:r>
      <w:r w:rsidRPr="00FF26B6">
        <w:rPr>
          <w:rFonts w:asciiTheme="majorBidi" w:hAnsiTheme="majorBidi" w:cstheme="majorBidi"/>
          <w:sz w:val="24"/>
          <w:szCs w:val="24"/>
          <w:lang w:bidi="ar-EG"/>
        </w:rPr>
        <w:t xml:space="preserve">downregulation of microRNA-204 increases the expression of matrix metallopeptidase 9 in pediatric patients with pulpitis and Helicobacter pylori infection, they indicated that the levels of miR-204 in pulp tissues, serum and saliva from children with pulpitis and H pylori infection in the stomach were significantly reduced compared with those in pediatric pulpitis patients without H pylori infection. </w:t>
      </w:r>
      <w:proofErr w:type="gramStart"/>
      <w:r w:rsidRPr="00FF26B6">
        <w:rPr>
          <w:rFonts w:asciiTheme="majorBidi" w:hAnsiTheme="majorBidi" w:cstheme="majorBidi"/>
          <w:sz w:val="24"/>
          <w:szCs w:val="24"/>
          <w:lang w:bidi="ar-EG"/>
        </w:rPr>
        <w:t>miR-204</w:t>
      </w:r>
      <w:proofErr w:type="gramEnd"/>
      <w:r w:rsidRPr="00FF26B6">
        <w:rPr>
          <w:rFonts w:asciiTheme="majorBidi" w:hAnsiTheme="majorBidi" w:cstheme="majorBidi"/>
          <w:sz w:val="24"/>
          <w:szCs w:val="24"/>
          <w:lang w:bidi="ar-EG"/>
        </w:rPr>
        <w:t xml:space="preserve"> may affect inflammatory processes and other oral diseases in pediatric patients with pulpitis and H pylori infection via MMP9, and may be a potential marker for the detection of H pylori infection in pediatric patients with pulpitis.</w:t>
      </w:r>
    </w:p>
    <w:p w:rsidR="00FF26B6" w:rsidRPr="00FF26B6" w:rsidRDefault="00FF26B6" w:rsidP="00FF26B6">
      <w:pPr>
        <w:bidi w:val="0"/>
        <w:spacing w:after="12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Our results were in agreement with</w:t>
      </w:r>
      <w:r w:rsidR="001E5377" w:rsidRPr="001E5377">
        <w:t xml:space="preserve"> </w:t>
      </w:r>
      <w:proofErr w:type="spellStart"/>
      <w:r w:rsidR="001E5377">
        <w:rPr>
          <w:rFonts w:asciiTheme="majorBidi" w:hAnsiTheme="majorBidi" w:cstheme="majorBidi"/>
          <w:sz w:val="24"/>
          <w:szCs w:val="24"/>
          <w:lang w:bidi="ar-EG"/>
        </w:rPr>
        <w:t>Mahboobi</w:t>
      </w:r>
      <w:proofErr w:type="spellEnd"/>
      <w:r w:rsidR="001E5377">
        <w:rPr>
          <w:rFonts w:asciiTheme="majorBidi" w:hAnsiTheme="majorBidi" w:cstheme="majorBidi"/>
          <w:sz w:val="24"/>
          <w:szCs w:val="24"/>
          <w:lang w:bidi="ar-EG"/>
        </w:rPr>
        <w:t xml:space="preserve"> et al.,</w:t>
      </w:r>
      <w:r w:rsidRPr="00FF26B6">
        <w:rPr>
          <w:rFonts w:asciiTheme="majorBidi" w:hAnsiTheme="majorBidi" w:cstheme="majorBidi"/>
          <w:sz w:val="24"/>
          <w:szCs w:val="24"/>
          <w:lang w:bidi="ar-EG"/>
        </w:rPr>
        <w:t xml:space="preserve"> </w:t>
      </w:r>
      <w:r w:rsidRPr="00FF26B6">
        <w:rPr>
          <w:rFonts w:asciiTheme="majorBidi" w:hAnsiTheme="majorBidi" w:cstheme="majorBidi"/>
          <w:b/>
          <w:bCs/>
          <w:sz w:val="24"/>
          <w:szCs w:val="24"/>
          <w:lang w:bidi="ar-EG"/>
        </w:rPr>
        <w:fldChar w:fldCharType="begin" w:fldLock="1"/>
      </w:r>
      <w:r w:rsidR="001E5377">
        <w:rPr>
          <w:rFonts w:asciiTheme="majorBidi" w:hAnsiTheme="majorBidi" w:cstheme="majorBidi"/>
          <w:b/>
          <w:bCs/>
          <w:sz w:val="24"/>
          <w:szCs w:val="24"/>
          <w:lang w:bidi="ar-EG"/>
        </w:rPr>
        <w:instrText>ADDIN CSL_CITATION {"citationItems":[{"id":"ITEM-1","itemData":{"author":[{"dropping-particle":"","family":"Mahboobi","given":"Ramina","non-dropping-particle":"","parse-names":false,"suffix":""},{"dropping-particle":"","family":"Fallah","given":"Fatemeh","non-dropping-particle":"","parse-names":false,"suffix":""},{"dropping-particle":"","family":"Yadegar","given":"Abbas","non-dropping-particle":"","parse-names":false,"suffix":""},{"dropping-particle":"","family":"Dara","given":"Naghi","non-dropping-particle":"","parse-names":false,"suffix":""},{"dropping-particle":"","family":"Aghdam","given":"Maryam Kazemi","non-dropping-particle":"","parse-names":false,"suffix":""},{"dropping-particle":"","family":"Asgari","given":"Behnoush","non-dropping-particle":"","parse-names":false,"suffix":""},{"dropping-particle":"","family":"Hakemi-Vala","given":"Mojdeh","non-dropping-particle":"","parse-names":false,"suffix":""}],"container-title":"Iranian Journal of Microbiology","id":"ITEM-1","issue":"4","issued":{"date-parts":[["2022"]]},"page":"495","publisher":"Tehran University of Medical Sciences","title":"Expression analysis of miRNA-155 level in Helicobacter pylori related inflammation and chronic gastritis","type":"article-journal","volume":"14"},"uris":["http://www.mendeley.com/documents/?uuid=bee53c99-3187-43e6-a0ce-1aaf5f789be7"]}],"mendeley":{"formattedCitation":"(10)","plainTextFormattedCitation":"(10)","previouslyFormattedCitation":"(10)"},"properties":{"noteIndex":0},"schema":"https://github.com/citation-style-language/schema/raw/master/csl-citation.json"}</w:instrText>
      </w:r>
      <w:r w:rsidRPr="00FF26B6">
        <w:rPr>
          <w:rFonts w:asciiTheme="majorBidi" w:hAnsiTheme="majorBidi" w:cstheme="majorBidi"/>
          <w:b/>
          <w:bCs/>
          <w:sz w:val="24"/>
          <w:szCs w:val="24"/>
          <w:lang w:bidi="ar-EG"/>
        </w:rPr>
        <w:fldChar w:fldCharType="separate"/>
      </w:r>
      <w:r w:rsidR="001E5377" w:rsidRPr="001E5377">
        <w:rPr>
          <w:rFonts w:asciiTheme="majorBidi" w:hAnsiTheme="majorBidi" w:cstheme="majorBidi"/>
          <w:bCs/>
          <w:noProof/>
          <w:sz w:val="24"/>
          <w:szCs w:val="24"/>
          <w:lang w:bidi="ar-EG"/>
        </w:rPr>
        <w:t>(10)</w:t>
      </w:r>
      <w:r w:rsidRPr="00FF26B6">
        <w:rPr>
          <w:rFonts w:asciiTheme="majorBidi" w:hAnsiTheme="majorBidi" w:cstheme="majorBidi"/>
          <w:sz w:val="24"/>
          <w:szCs w:val="24"/>
          <w:lang w:bidi="ar-EG"/>
        </w:rPr>
        <w:fldChar w:fldCharType="end"/>
      </w:r>
      <w:r w:rsidRPr="00FF26B6">
        <w:rPr>
          <w:rFonts w:asciiTheme="majorBidi" w:hAnsiTheme="majorBidi" w:cstheme="majorBidi"/>
          <w:b/>
          <w:bCs/>
          <w:sz w:val="24"/>
          <w:szCs w:val="24"/>
          <w:lang w:bidi="ar-EG"/>
        </w:rPr>
        <w:t>,</w:t>
      </w:r>
      <w:r w:rsidRPr="00FF26B6">
        <w:rPr>
          <w:rFonts w:asciiTheme="majorBidi" w:hAnsiTheme="majorBidi" w:cstheme="majorBidi"/>
          <w:sz w:val="24"/>
          <w:szCs w:val="24"/>
          <w:lang w:bidi="ar-EG"/>
        </w:rPr>
        <w:t xml:space="preserve"> who studied expression analysis of miRNA-155 level in Helicobacter pylori related inflammation and chronic gastritis, they observed that miRNA-155 expression in H. pylori infected adult patients increased significantly by 5.61 and 10.11 fold in serum and tissue respectively, compared to that observed in the control group. And</w:t>
      </w:r>
      <w:r w:rsidR="001E5377" w:rsidRPr="001E5377">
        <w:t xml:space="preserve"> </w:t>
      </w:r>
      <w:proofErr w:type="spellStart"/>
      <w:r w:rsidR="001E5377">
        <w:rPr>
          <w:rFonts w:asciiTheme="majorBidi" w:hAnsiTheme="majorBidi" w:cstheme="majorBidi"/>
          <w:sz w:val="24"/>
          <w:szCs w:val="24"/>
          <w:lang w:bidi="ar-EG"/>
        </w:rPr>
        <w:t>Ard</w:t>
      </w:r>
      <w:proofErr w:type="spellEnd"/>
      <w:r w:rsidR="001E5377">
        <w:rPr>
          <w:rFonts w:asciiTheme="majorBidi" w:hAnsiTheme="majorBidi" w:cstheme="majorBidi"/>
          <w:sz w:val="24"/>
          <w:szCs w:val="24"/>
          <w:lang w:bidi="ar-EG"/>
        </w:rPr>
        <w:t xml:space="preserve"> &amp; </w:t>
      </w:r>
      <w:proofErr w:type="spellStart"/>
      <w:r w:rsidR="001E5377">
        <w:rPr>
          <w:rFonts w:asciiTheme="majorBidi" w:hAnsiTheme="majorBidi" w:cstheme="majorBidi"/>
          <w:sz w:val="24"/>
          <w:szCs w:val="24"/>
          <w:lang w:bidi="ar-EG"/>
        </w:rPr>
        <w:t>Alammar</w:t>
      </w:r>
      <w:proofErr w:type="spellEnd"/>
      <w:r w:rsidR="001E5377">
        <w:rPr>
          <w:rFonts w:asciiTheme="majorBidi" w:hAnsiTheme="majorBidi" w:cstheme="majorBidi"/>
          <w:sz w:val="24"/>
          <w:szCs w:val="24"/>
          <w:lang w:bidi="ar-EG"/>
        </w:rPr>
        <w:t>,</w:t>
      </w:r>
      <w:r w:rsidRPr="00FF26B6">
        <w:rPr>
          <w:rFonts w:asciiTheme="majorBidi" w:hAnsiTheme="majorBidi" w:cstheme="majorBidi"/>
          <w:sz w:val="24"/>
          <w:szCs w:val="24"/>
          <w:lang w:bidi="ar-EG"/>
        </w:rPr>
        <w:t xml:space="preserve"> </w:t>
      </w:r>
      <w:r w:rsidRPr="00FF26B6">
        <w:rPr>
          <w:rFonts w:asciiTheme="majorBidi" w:hAnsiTheme="majorBidi" w:cstheme="majorBidi"/>
          <w:b/>
          <w:bCs/>
          <w:sz w:val="24"/>
          <w:szCs w:val="24"/>
          <w:lang w:bidi="ar-EG"/>
        </w:rPr>
        <w:fldChar w:fldCharType="begin" w:fldLock="1"/>
      </w:r>
      <w:r w:rsidR="001E5377">
        <w:rPr>
          <w:rFonts w:asciiTheme="majorBidi" w:hAnsiTheme="majorBidi" w:cstheme="majorBidi"/>
          <w:b/>
          <w:bCs/>
          <w:sz w:val="24"/>
          <w:szCs w:val="24"/>
          <w:lang w:bidi="ar-EG"/>
        </w:rPr>
        <w:instrText>ADDIN CSL_CITATION {"citationItems":[{"id":"ITEM-1","itemData":{"ISSN":"1110-2179","author":[{"dropping-particle":"","family":"Ard","given":"Ali S","non-dropping-particle":"","parse-names":false,"suffix":""},{"dropping-particle":"","family":"Alammar","given":"Mahdi H","non-dropping-particle":"","parse-names":false,"suffix":""}],"container-title":"Egyptian Journal of Medical Microbiology","id":"ITEM-1","issue":"2","issued":{"date-parts":[["2026"]]},"publisher":"Egyptian Society for Medical Microbiology (ESMM)","title":"Association of Helicobacter pylori Infection and miR-155 and miR-146a Gene Polymorphism with Gastric Ulcer Patients","type":"article-journal","volume":"35"},"uris":["http://www.mendeley.com/documents/?uuid=8f378aaa-6249-4ab2-819d-a38c009b7f77"]}],"mendeley":{"formattedCitation":"(12)","plainTextFormattedCitation":"(12)","previouslyFormattedCitation":"(12)"},"properties":{"noteIndex":0},"schema":"https://github.com/citation-style-language/schema/raw/master/csl-citation.json"}</w:instrText>
      </w:r>
      <w:r w:rsidRPr="00FF26B6">
        <w:rPr>
          <w:rFonts w:asciiTheme="majorBidi" w:hAnsiTheme="majorBidi" w:cstheme="majorBidi"/>
          <w:b/>
          <w:bCs/>
          <w:sz w:val="24"/>
          <w:szCs w:val="24"/>
          <w:lang w:bidi="ar-EG"/>
        </w:rPr>
        <w:fldChar w:fldCharType="separate"/>
      </w:r>
      <w:r w:rsidR="001E5377" w:rsidRPr="001E5377">
        <w:rPr>
          <w:rFonts w:asciiTheme="majorBidi" w:hAnsiTheme="majorBidi" w:cstheme="majorBidi"/>
          <w:bCs/>
          <w:noProof/>
          <w:sz w:val="24"/>
          <w:szCs w:val="24"/>
          <w:lang w:bidi="ar-EG"/>
        </w:rPr>
        <w:t>(12)</w:t>
      </w:r>
      <w:r w:rsidRPr="00FF26B6">
        <w:rPr>
          <w:rFonts w:asciiTheme="majorBidi" w:hAnsiTheme="majorBidi" w:cstheme="majorBidi"/>
          <w:sz w:val="24"/>
          <w:szCs w:val="24"/>
          <w:lang w:bidi="ar-EG"/>
        </w:rPr>
        <w:fldChar w:fldCharType="end"/>
      </w:r>
      <w:r w:rsidRPr="00FF26B6">
        <w:rPr>
          <w:rFonts w:asciiTheme="majorBidi" w:hAnsiTheme="majorBidi" w:cstheme="majorBidi"/>
          <w:b/>
          <w:bCs/>
          <w:sz w:val="24"/>
          <w:szCs w:val="24"/>
          <w:lang w:bidi="ar-EG"/>
        </w:rPr>
        <w:t>,</w:t>
      </w:r>
      <w:r w:rsidRPr="00FF26B6">
        <w:rPr>
          <w:rFonts w:asciiTheme="majorBidi" w:hAnsiTheme="majorBidi" w:cstheme="majorBidi"/>
          <w:sz w:val="24"/>
          <w:szCs w:val="24"/>
          <w:lang w:bidi="ar-EG"/>
        </w:rPr>
        <w:t xml:space="preserve"> who studied association of helicobacter pylori infection and miR-155 and miR-146a Gene Polymorphism with Gastric Ulcer Patients, she observed that the expression level of miRNA-155 was significantly higher (P=0.0001) in H. pylori patients (fold change: 18.41 ± 4.02) compared to the control group (fold change: 1.02 ± 0.19). </w:t>
      </w:r>
    </w:p>
    <w:p w:rsidR="00FF26B6" w:rsidRPr="00FF26B6" w:rsidRDefault="00FF26B6" w:rsidP="00FF26B6">
      <w:pPr>
        <w:bidi w:val="0"/>
        <w:spacing w:after="12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 xml:space="preserve">Our results weren’t fully agreed with </w:t>
      </w:r>
      <w:proofErr w:type="spellStart"/>
      <w:r w:rsidR="001E5377" w:rsidRPr="001E5377">
        <w:rPr>
          <w:rFonts w:asciiTheme="majorBidi" w:hAnsiTheme="majorBidi" w:cstheme="majorBidi"/>
          <w:sz w:val="24"/>
          <w:szCs w:val="24"/>
          <w:lang w:bidi="ar-EG"/>
        </w:rPr>
        <w:t>Oana</w:t>
      </w:r>
      <w:proofErr w:type="spellEnd"/>
      <w:r w:rsidR="001E5377" w:rsidRPr="001E5377">
        <w:rPr>
          <w:rFonts w:asciiTheme="majorBidi" w:hAnsiTheme="majorBidi" w:cstheme="majorBidi"/>
          <w:sz w:val="24"/>
          <w:szCs w:val="24"/>
          <w:lang w:bidi="ar-EG"/>
        </w:rPr>
        <w:t xml:space="preserve"> et al.,</w:t>
      </w:r>
      <w:r w:rsidR="001E5377">
        <w:rPr>
          <w:rFonts w:asciiTheme="majorBidi" w:hAnsiTheme="majorBidi" w:cstheme="majorBidi"/>
          <w:sz w:val="24"/>
          <w:szCs w:val="24"/>
          <w:lang w:bidi="ar-EG"/>
        </w:rPr>
        <w:t xml:space="preserve"> </w:t>
      </w:r>
      <w:r w:rsidRPr="00FF26B6">
        <w:rPr>
          <w:rFonts w:asciiTheme="majorBidi" w:hAnsiTheme="majorBidi" w:cstheme="majorBidi"/>
          <w:b/>
          <w:bCs/>
          <w:sz w:val="24"/>
          <w:szCs w:val="24"/>
          <w:lang w:bidi="ar-EG"/>
        </w:rPr>
        <w:fldChar w:fldCharType="begin" w:fldLock="1"/>
      </w:r>
      <w:r w:rsidR="001E5377">
        <w:rPr>
          <w:rFonts w:asciiTheme="majorBidi" w:hAnsiTheme="majorBidi" w:cstheme="majorBidi"/>
          <w:b/>
          <w:bCs/>
          <w:sz w:val="24"/>
          <w:szCs w:val="24"/>
          <w:lang w:bidi="ar-EG"/>
        </w:rPr>
        <w:instrText>ADDIN CSL_CITATION {"citationItems":[{"id":"ITEM-1","itemData":{"ISSN":"2077-0383","author":[{"dropping-particle":"","family":"Oana","given":"Săsăran Maria","non-dropping-particle":"","parse-names":false,"suffix":""},{"dropping-particle":"","family":"Claudia","given":"Bănescu","non-dropping-particle":"","parse-names":false,"suffix":""},{"dropping-particle":"","family":"Lelia","given":"Riza Anca","non-dropping-particle":"","parse-names":false,"suffix":""},{"dropping-particle":"","family":"Simona","given":"Mocan","non-dropping-particle":"","parse-names":false,"suffix":""},{"dropping-particle":"","family":"Claudia","given":"Cârstea","non-dropping-particle":"","parse-names":false,"suffix":""},{"dropping-particle":"","family":"Daniela","given":"Dobru Ecaterina","non-dropping-particle":"","parse-names":false,"suffix":""}],"container-title":"Journal of Clinical Medicine","id":"ITEM-1","issue":"12","issued":{"date-parts":[["2022"]]},"page":"3351","publisher":"MDPI","title":"Differential expression of tissular miRNA-155 in pediatric gastritis","type":"article-journal","volume":"11"},"uris":["http://www.mendeley.com/documents/?uuid=8c3002dc-7beb-470a-9dd5-de2bbb8e7bd3"]}],"mendeley":{"formattedCitation":"(7)","plainTextFormattedCitation":"(7)","previouslyFormattedCitation":"(7)"},"properties":{"noteIndex":0},"schema":"https://github.com/citation-style-language/schema/raw/master/csl-citation.json"}</w:instrText>
      </w:r>
      <w:r w:rsidRPr="00FF26B6">
        <w:rPr>
          <w:rFonts w:asciiTheme="majorBidi" w:hAnsiTheme="majorBidi" w:cstheme="majorBidi"/>
          <w:b/>
          <w:bCs/>
          <w:sz w:val="24"/>
          <w:szCs w:val="24"/>
          <w:lang w:bidi="ar-EG"/>
        </w:rPr>
        <w:fldChar w:fldCharType="separate"/>
      </w:r>
      <w:r w:rsidR="001E5377" w:rsidRPr="001E5377">
        <w:rPr>
          <w:rFonts w:asciiTheme="majorBidi" w:hAnsiTheme="majorBidi" w:cstheme="majorBidi"/>
          <w:bCs/>
          <w:noProof/>
          <w:sz w:val="24"/>
          <w:szCs w:val="24"/>
          <w:lang w:bidi="ar-EG"/>
        </w:rPr>
        <w:t>(7)</w:t>
      </w:r>
      <w:r w:rsidRPr="00FF26B6">
        <w:rPr>
          <w:rFonts w:asciiTheme="majorBidi" w:hAnsiTheme="majorBidi" w:cstheme="majorBidi"/>
          <w:sz w:val="24"/>
          <w:szCs w:val="24"/>
          <w:lang w:bidi="ar-EG"/>
        </w:rPr>
        <w:fldChar w:fldCharType="end"/>
      </w:r>
      <w:r w:rsidRPr="00FF26B6">
        <w:rPr>
          <w:rFonts w:asciiTheme="majorBidi" w:hAnsiTheme="majorBidi" w:cstheme="majorBidi"/>
          <w:b/>
          <w:bCs/>
          <w:sz w:val="24"/>
          <w:szCs w:val="24"/>
          <w:lang w:bidi="ar-EG"/>
        </w:rPr>
        <w:t>,</w:t>
      </w:r>
      <w:r w:rsidRPr="00FF26B6">
        <w:rPr>
          <w:rFonts w:asciiTheme="majorBidi" w:hAnsiTheme="majorBidi" w:cstheme="majorBidi"/>
          <w:sz w:val="24"/>
          <w:szCs w:val="24"/>
          <w:lang w:bidi="ar-EG"/>
        </w:rPr>
        <w:t xml:space="preserve"> who studied differential expression of miRNA-155 in pediatric gastritis, who observed that MiR-155 expression was augmented in patients with gastritis but did not differ significantly from controls (</w:t>
      </w:r>
      <w:r w:rsidRPr="00FF26B6">
        <w:rPr>
          <w:rFonts w:asciiTheme="majorBidi" w:hAnsiTheme="majorBidi" w:cstheme="majorBidi"/>
          <w:i/>
          <w:iCs/>
          <w:sz w:val="24"/>
          <w:szCs w:val="24"/>
          <w:lang w:bidi="ar-EG"/>
        </w:rPr>
        <w:t>p</w:t>
      </w:r>
      <w:r w:rsidRPr="00FF26B6">
        <w:rPr>
          <w:rFonts w:asciiTheme="majorBidi" w:hAnsiTheme="majorBidi" w:cstheme="majorBidi"/>
          <w:sz w:val="24"/>
          <w:szCs w:val="24"/>
          <w:lang w:bidi="ar-EG"/>
        </w:rPr>
        <w:t> = 0.16).</w:t>
      </w:r>
    </w:p>
    <w:p w:rsidR="00FF26B6" w:rsidRPr="00FF26B6" w:rsidRDefault="00FF26B6" w:rsidP="00FF26B6">
      <w:pPr>
        <w:bidi w:val="0"/>
        <w:spacing w:after="12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The suppression of miR-204 expression in response to </w:t>
      </w:r>
      <w:r w:rsidRPr="00FF26B6">
        <w:rPr>
          <w:rFonts w:asciiTheme="majorBidi" w:hAnsiTheme="majorBidi" w:cstheme="majorBidi"/>
          <w:i/>
          <w:iCs/>
          <w:sz w:val="24"/>
          <w:szCs w:val="24"/>
          <w:lang w:bidi="ar-EG"/>
        </w:rPr>
        <w:t>H. pylori</w:t>
      </w:r>
      <w:r w:rsidRPr="00FF26B6">
        <w:rPr>
          <w:rFonts w:asciiTheme="majorBidi" w:hAnsiTheme="majorBidi" w:cstheme="majorBidi"/>
          <w:sz w:val="24"/>
          <w:szCs w:val="24"/>
          <w:lang w:bidi="ar-EG"/>
        </w:rPr>
        <w:t> infection can be attributed to the increased </w:t>
      </w:r>
      <w:proofErr w:type="spellStart"/>
      <w:r w:rsidRPr="00FF26B6">
        <w:rPr>
          <w:rFonts w:asciiTheme="majorBidi" w:hAnsiTheme="majorBidi" w:cstheme="majorBidi"/>
          <w:sz w:val="24"/>
          <w:szCs w:val="24"/>
          <w:lang w:bidi="ar-EG"/>
        </w:rPr>
        <w:fldChar w:fldCharType="begin"/>
      </w:r>
      <w:r w:rsidRPr="00FF26B6">
        <w:rPr>
          <w:rFonts w:asciiTheme="majorBidi" w:hAnsiTheme="majorBidi" w:cstheme="majorBidi"/>
          <w:sz w:val="24"/>
          <w:szCs w:val="24"/>
          <w:lang w:bidi="ar-EG"/>
        </w:rPr>
        <w:instrText xml:space="preserve"> HYPERLINK "https://www.sciencedirect.com/topics/biochemistry-genetics-and-molecular-biology/cpg-site" \o "Learn more about CpG site from ScienceDirect's AI-generated Topic Pages" </w:instrText>
      </w:r>
      <w:r w:rsidRPr="00FF26B6">
        <w:rPr>
          <w:rFonts w:asciiTheme="majorBidi" w:hAnsiTheme="majorBidi" w:cstheme="majorBidi"/>
          <w:sz w:val="24"/>
          <w:szCs w:val="24"/>
          <w:lang w:bidi="ar-EG"/>
        </w:rPr>
        <w:fldChar w:fldCharType="separate"/>
      </w:r>
      <w:r w:rsidRPr="00FF26B6">
        <w:rPr>
          <w:rStyle w:val="Hyperlink"/>
          <w:rFonts w:asciiTheme="majorBidi" w:hAnsiTheme="majorBidi" w:cstheme="majorBidi"/>
          <w:color w:val="auto"/>
          <w:sz w:val="24"/>
          <w:szCs w:val="24"/>
          <w:u w:val="none"/>
          <w:lang w:bidi="ar-EG"/>
        </w:rPr>
        <w:t>CpG</w:t>
      </w:r>
      <w:proofErr w:type="spellEnd"/>
      <w:r w:rsidRPr="00FF26B6">
        <w:rPr>
          <w:rStyle w:val="Hyperlink"/>
          <w:rFonts w:asciiTheme="majorBidi" w:hAnsiTheme="majorBidi" w:cstheme="majorBidi"/>
          <w:color w:val="auto"/>
          <w:sz w:val="24"/>
          <w:szCs w:val="24"/>
          <w:u w:val="none"/>
          <w:lang w:bidi="ar-EG"/>
        </w:rPr>
        <w:t xml:space="preserve"> site</w:t>
      </w:r>
      <w:r w:rsidRPr="00FF26B6">
        <w:rPr>
          <w:rFonts w:asciiTheme="majorBidi" w:hAnsiTheme="majorBidi" w:cstheme="majorBidi"/>
          <w:sz w:val="24"/>
          <w:szCs w:val="24"/>
          <w:lang w:bidi="ar-EG"/>
        </w:rPr>
        <w:fldChar w:fldCharType="end"/>
      </w:r>
      <w:r w:rsidRPr="00FF26B6">
        <w:rPr>
          <w:rFonts w:asciiTheme="majorBidi" w:hAnsiTheme="majorBidi" w:cstheme="majorBidi"/>
          <w:sz w:val="24"/>
          <w:szCs w:val="24"/>
          <w:lang w:bidi="ar-EG"/>
        </w:rPr>
        <w:t> methylation in the promoter region of miR-204 host gene </w:t>
      </w:r>
      <w:hyperlink r:id="rId6" w:tooltip="Learn more about TRPM3 from ScienceDirect's AI-generated Topic Pages" w:history="1">
        <w:r w:rsidRPr="00FF26B6">
          <w:rPr>
            <w:rStyle w:val="Hyperlink"/>
            <w:rFonts w:asciiTheme="majorBidi" w:hAnsiTheme="majorBidi" w:cstheme="majorBidi"/>
            <w:color w:val="auto"/>
            <w:sz w:val="24"/>
            <w:szCs w:val="24"/>
            <w:u w:val="none"/>
            <w:lang w:bidi="ar-EG"/>
          </w:rPr>
          <w:t>TRPM3</w:t>
        </w:r>
      </w:hyperlink>
      <w:r w:rsidRPr="00FF26B6">
        <w:rPr>
          <w:rFonts w:asciiTheme="majorBidi" w:hAnsiTheme="majorBidi" w:cstheme="majorBidi"/>
          <w:sz w:val="24"/>
          <w:szCs w:val="24"/>
          <w:lang w:bidi="ar-EG"/>
        </w:rPr>
        <w:t>. This epigenetic suppression of miR-204 activates the TNF-α/NF-</w:t>
      </w:r>
      <w:proofErr w:type="spellStart"/>
      <w:r w:rsidRPr="00FF26B6">
        <w:rPr>
          <w:rFonts w:asciiTheme="majorBidi" w:hAnsiTheme="majorBidi" w:cstheme="majorBidi"/>
          <w:sz w:val="24"/>
          <w:szCs w:val="24"/>
          <w:lang w:bidi="ar-EG"/>
        </w:rPr>
        <w:t>κB</w:t>
      </w:r>
      <w:proofErr w:type="spellEnd"/>
      <w:r w:rsidRPr="00FF26B6">
        <w:rPr>
          <w:rFonts w:asciiTheme="majorBidi" w:hAnsiTheme="majorBidi" w:cstheme="majorBidi"/>
          <w:sz w:val="24"/>
          <w:szCs w:val="24"/>
          <w:lang w:bidi="ar-EG"/>
        </w:rPr>
        <w:t xml:space="preserve"> signaling pathway in </w:t>
      </w:r>
      <w:r w:rsidRPr="00FF26B6">
        <w:rPr>
          <w:rFonts w:asciiTheme="majorBidi" w:hAnsiTheme="majorBidi" w:cstheme="majorBidi"/>
          <w:i/>
          <w:iCs/>
          <w:sz w:val="24"/>
          <w:szCs w:val="24"/>
          <w:lang w:bidi="ar-EG"/>
        </w:rPr>
        <w:t>H. pylori</w:t>
      </w:r>
      <w:r w:rsidRPr="00FF26B6">
        <w:rPr>
          <w:rFonts w:asciiTheme="majorBidi" w:hAnsiTheme="majorBidi" w:cstheme="majorBidi"/>
          <w:sz w:val="24"/>
          <w:szCs w:val="24"/>
          <w:lang w:bidi="ar-EG"/>
        </w:rPr>
        <w:t>-induced GC, facilitating GC development and progression and resulting in poor survival in patients with GC </w:t>
      </w:r>
      <w:r w:rsidRPr="00FF26B6">
        <w:rPr>
          <w:rFonts w:asciiTheme="majorBidi" w:hAnsiTheme="majorBidi" w:cstheme="majorBidi"/>
          <w:b/>
          <w:bCs/>
          <w:sz w:val="24"/>
          <w:szCs w:val="24"/>
          <w:lang w:bidi="ar-EG"/>
        </w:rPr>
        <w:fldChar w:fldCharType="begin" w:fldLock="1"/>
      </w:r>
      <w:r w:rsidR="001E5377">
        <w:rPr>
          <w:rFonts w:asciiTheme="majorBidi" w:hAnsiTheme="majorBidi" w:cstheme="majorBidi"/>
          <w:b/>
          <w:bCs/>
          <w:sz w:val="24"/>
          <w:szCs w:val="24"/>
          <w:lang w:bidi="ar-EG"/>
        </w:rPr>
        <w:instrText>ADDIN CSL_CITATION {"citationItems":[{"id":"ITEM-1","itemData":{"ISSN":"0143-3334","author":[{"dropping-particle":"","family":"Chen","given":"Peizhan","non-dropping-particle":"","parse-names":false,"suffix":""},{"dropping-particle":"","family":"Guo","given":"He","non-dropping-particle":"","parse-names":false,"suffix":""},{"dropping-particle":"","family":"Wu","given":"Xuming","non-dropping-particle":"","parse-names":false,"suffix":""},{"dropping-particle":"","family":"Li","given":"Jingquan","non-dropping-particle":"","parse-names":false,"suffix":""},{"dropping-particle":"","family":"Duan","given":"Xiaohua","non-dropping-particle":"","parse-names":false,"suffix":""},{"dropping-particle":"","family":"Ba","given":"Qian","non-dropping-particle":"","parse-names":false,"suffix":""},{"dropping-particle":"","family":"Wang","given":"Hui","non-dropping-particle":"","parse-names":false,"suffix":""}],"container-title":"Carcinogenesis","id":"ITEM-1","issue":"4","issued":{"date-parts":[["2020"]]},"page":"430-441","publisher":"Oxford University Press UK","title":"Epigenetic silencing of microRNA-204 by Helicobacter pylori augments the NF-κB signaling pathway in gastric cancer development and progression","type":"article-journal","volume":"41"},"uris":["http://www.mendeley.com/documents/?uuid=9cedc516-be95-4217-9a50-08022d3dc403"]}],"mendeley":{"formattedCitation":"(8)","plainTextFormattedCitation":"(8)","previouslyFormattedCitation":"(8)"},"properties":{"noteIndex":0},"schema":"https://github.com/citation-style-language/schema/raw/master/csl-citation.json"}</w:instrText>
      </w:r>
      <w:r w:rsidRPr="00FF26B6">
        <w:rPr>
          <w:rFonts w:asciiTheme="majorBidi" w:hAnsiTheme="majorBidi" w:cstheme="majorBidi"/>
          <w:b/>
          <w:bCs/>
          <w:sz w:val="24"/>
          <w:szCs w:val="24"/>
          <w:lang w:bidi="ar-EG"/>
        </w:rPr>
        <w:fldChar w:fldCharType="separate"/>
      </w:r>
      <w:r w:rsidR="00C641F3" w:rsidRPr="00C641F3">
        <w:rPr>
          <w:rFonts w:asciiTheme="majorBidi" w:hAnsiTheme="majorBidi" w:cstheme="majorBidi"/>
          <w:bCs/>
          <w:noProof/>
          <w:sz w:val="24"/>
          <w:szCs w:val="24"/>
          <w:lang w:bidi="ar-EG"/>
        </w:rPr>
        <w:t>(8)</w:t>
      </w:r>
      <w:r w:rsidRPr="00FF26B6">
        <w:rPr>
          <w:rFonts w:asciiTheme="majorBidi" w:hAnsiTheme="majorBidi" w:cstheme="majorBidi"/>
          <w:sz w:val="24"/>
          <w:szCs w:val="24"/>
          <w:lang w:bidi="ar-EG"/>
        </w:rPr>
        <w:fldChar w:fldCharType="end"/>
      </w:r>
      <w:r w:rsidRPr="00FF26B6">
        <w:rPr>
          <w:rFonts w:asciiTheme="majorBidi" w:hAnsiTheme="majorBidi" w:cstheme="majorBidi"/>
          <w:b/>
          <w:bCs/>
          <w:sz w:val="24"/>
          <w:szCs w:val="24"/>
          <w:lang w:bidi="ar-EG"/>
        </w:rPr>
        <w:t>.</w:t>
      </w:r>
      <w:r w:rsidRPr="00FF26B6">
        <w:rPr>
          <w:rFonts w:asciiTheme="majorBidi" w:hAnsiTheme="majorBidi" w:cstheme="majorBidi"/>
          <w:sz w:val="24"/>
          <w:szCs w:val="24"/>
          <w:lang w:bidi="ar-EG"/>
        </w:rPr>
        <w:t xml:space="preserve"> </w:t>
      </w:r>
    </w:p>
    <w:p w:rsidR="00FF26B6" w:rsidRPr="00FF26B6" w:rsidRDefault="00FF26B6" w:rsidP="00FF26B6">
      <w:pPr>
        <w:bidi w:val="0"/>
        <w:spacing w:after="12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miRNA-155 is overexpressed in macrophages during H. pylori infection and promotes the production of inflammatory cytokines such as </w:t>
      </w:r>
      <w:hyperlink r:id="rId7" w:history="1">
        <w:r w:rsidRPr="00FF26B6">
          <w:rPr>
            <w:rStyle w:val="Hyperlink"/>
            <w:rFonts w:asciiTheme="majorBidi" w:hAnsiTheme="majorBidi" w:cstheme="majorBidi"/>
            <w:color w:val="auto"/>
            <w:sz w:val="24"/>
            <w:szCs w:val="24"/>
            <w:u w:val="none"/>
            <w:lang w:bidi="ar-EG"/>
          </w:rPr>
          <w:t>TNF-α</w:t>
        </w:r>
      </w:hyperlink>
      <w:r w:rsidRPr="00FF26B6">
        <w:rPr>
          <w:rFonts w:asciiTheme="majorBidi" w:hAnsiTheme="majorBidi" w:cstheme="majorBidi"/>
          <w:sz w:val="24"/>
          <w:szCs w:val="24"/>
          <w:lang w:bidi="ar-EG"/>
        </w:rPr>
        <w:t> and </w:t>
      </w:r>
      <w:hyperlink r:id="rId8" w:history="1">
        <w:r w:rsidRPr="00FF26B6">
          <w:rPr>
            <w:rStyle w:val="Hyperlink"/>
            <w:rFonts w:asciiTheme="majorBidi" w:hAnsiTheme="majorBidi" w:cstheme="majorBidi"/>
            <w:color w:val="auto"/>
            <w:sz w:val="24"/>
            <w:szCs w:val="24"/>
            <w:u w:val="none"/>
            <w:lang w:bidi="ar-EG"/>
          </w:rPr>
          <w:t>IL-23</w:t>
        </w:r>
      </w:hyperlink>
      <w:r w:rsidRPr="00FF26B6">
        <w:rPr>
          <w:rFonts w:asciiTheme="majorBidi" w:hAnsiTheme="majorBidi" w:cstheme="majorBidi"/>
          <w:sz w:val="24"/>
          <w:szCs w:val="24"/>
          <w:lang w:bidi="ar-EG"/>
        </w:rPr>
        <w:t xml:space="preserve">, which contribute </w:t>
      </w:r>
      <w:r w:rsidRPr="00FF26B6">
        <w:rPr>
          <w:rFonts w:asciiTheme="majorBidi" w:hAnsiTheme="majorBidi" w:cstheme="majorBidi"/>
          <w:sz w:val="24"/>
          <w:szCs w:val="24"/>
          <w:lang w:bidi="ar-EG"/>
        </w:rPr>
        <w:lastRenderedPageBreak/>
        <w:t>to gastritis. It influences the expression of immune markers on macrophages and T cells, playing a key role in the inflammatory response. Due to its increased expression in infected tissues and serum, miRNA-155 is considered a potential diagnostic indicator for chronic gastritis caused by H. pylori. It has been found to be involved in the autophagy-mediated anti-H. </w:t>
      </w:r>
      <w:proofErr w:type="gramStart"/>
      <w:r w:rsidRPr="00FF26B6">
        <w:rPr>
          <w:rFonts w:asciiTheme="majorBidi" w:hAnsiTheme="majorBidi" w:cstheme="majorBidi"/>
          <w:sz w:val="24"/>
          <w:szCs w:val="24"/>
          <w:lang w:bidi="ar-EG"/>
        </w:rPr>
        <w:t>pylori</w:t>
      </w:r>
      <w:proofErr w:type="gramEnd"/>
      <w:r w:rsidRPr="00FF26B6">
        <w:rPr>
          <w:rFonts w:asciiTheme="majorBidi" w:hAnsiTheme="majorBidi" w:cstheme="majorBidi"/>
          <w:sz w:val="24"/>
          <w:szCs w:val="24"/>
          <w:lang w:bidi="ar-EG"/>
        </w:rPr>
        <w:t xml:space="preserve"> response, which is a cellular process that can help clear the bacteria. High levels of miRNA-155 in chronic gastric inflammation are a marker of gastric cancer development, suggesting it could be a target for therapeutic intervention to prevent cancer progression </w:t>
      </w:r>
      <w:r w:rsidRPr="00FF26B6">
        <w:rPr>
          <w:rFonts w:asciiTheme="majorBidi" w:hAnsiTheme="majorBidi" w:cstheme="majorBidi"/>
          <w:b/>
          <w:bCs/>
          <w:sz w:val="24"/>
          <w:szCs w:val="24"/>
          <w:lang w:bidi="ar-EG"/>
        </w:rPr>
        <w:fldChar w:fldCharType="begin" w:fldLock="1"/>
      </w:r>
      <w:r w:rsidR="001E5377">
        <w:rPr>
          <w:rFonts w:asciiTheme="majorBidi" w:hAnsiTheme="majorBidi" w:cstheme="majorBidi"/>
          <w:b/>
          <w:bCs/>
          <w:sz w:val="24"/>
          <w:szCs w:val="24"/>
          <w:lang w:bidi="ar-EG"/>
        </w:rPr>
        <w:instrText>ADDIN CSL_CITATION {"citationItems":[{"id":"ITEM-1","itemData":{"ISSN":"1043-6618","author":[{"dropping-particle":"","family":"Xu","given":"Huimei","non-dropping-particle":"","parse-names":false,"suffix":""},{"dropping-particle":"","family":"Huang","given":"Ke","non-dropping-particle":"","parse-names":false,"suffix":""},{"dropping-particle":"","family":"Shi","given":"Mingxuan","non-dropping-particle":"","parse-names":false,"suffix":""},{"dropping-particle":"","family":"Gong","given":"Hang","non-dropping-particle":"","parse-names":false,"suffix":""},{"dropping-particle":"","family":"Han","given":"Mengyu","non-dropping-particle":"","parse-names":false,"suffix":""},{"dropping-particle":"","family":"Tian","given":"Wenji","non-dropping-particle":"","parse-names":false,"suffix":""},{"dropping-particle":"","family":"Wang","given":"Xiaoying","non-dropping-particle":"","parse-names":false,"suffix":""},{"dropping-particle":"","family":"Zhang","given":"Dekui","non-dropping-particle":"","parse-names":false,"suffix":""}],"container-title":"Pharmacological Research","id":"ITEM-1","issued":{"date-parts":[["2024"]]},"page":"107216","publisher":"Elsevier","title":"MicroRNAs in Helicobacter pylori-infected gastric cancer: Function and clinical application","type":"article-journal"},"uris":["http://www.mendeley.com/documents/?uuid=a5c2969f-dcff-4b04-9309-d6bae5a3b0a4"]}],"mendeley":{"formattedCitation":"(5)","plainTextFormattedCitation":"(5)","previouslyFormattedCitation":"(5)"},"properties":{"noteIndex":0},"schema":"https://github.com/citation-style-language/schema/raw/master/csl-citation.json"}</w:instrText>
      </w:r>
      <w:r w:rsidRPr="00FF26B6">
        <w:rPr>
          <w:rFonts w:asciiTheme="majorBidi" w:hAnsiTheme="majorBidi" w:cstheme="majorBidi"/>
          <w:b/>
          <w:bCs/>
          <w:sz w:val="24"/>
          <w:szCs w:val="24"/>
          <w:lang w:bidi="ar-EG"/>
        </w:rPr>
        <w:fldChar w:fldCharType="separate"/>
      </w:r>
      <w:r w:rsidR="00C641F3" w:rsidRPr="00C641F3">
        <w:rPr>
          <w:rFonts w:asciiTheme="majorBidi" w:hAnsiTheme="majorBidi" w:cstheme="majorBidi"/>
          <w:bCs/>
          <w:noProof/>
          <w:sz w:val="24"/>
          <w:szCs w:val="24"/>
          <w:lang w:bidi="ar-EG"/>
        </w:rPr>
        <w:t>(5)</w:t>
      </w:r>
      <w:r w:rsidRPr="00FF26B6">
        <w:rPr>
          <w:rFonts w:asciiTheme="majorBidi" w:hAnsiTheme="majorBidi" w:cstheme="majorBidi"/>
          <w:sz w:val="24"/>
          <w:szCs w:val="24"/>
          <w:lang w:bidi="ar-EG"/>
        </w:rPr>
        <w:fldChar w:fldCharType="end"/>
      </w:r>
      <w:r w:rsidRPr="00FF26B6">
        <w:rPr>
          <w:rFonts w:asciiTheme="majorBidi" w:hAnsiTheme="majorBidi" w:cstheme="majorBidi"/>
          <w:b/>
          <w:bCs/>
          <w:sz w:val="24"/>
          <w:szCs w:val="24"/>
          <w:lang w:bidi="ar-EG"/>
        </w:rPr>
        <w:t>.</w:t>
      </w:r>
      <w:r w:rsidRPr="00FF26B6">
        <w:rPr>
          <w:rFonts w:asciiTheme="majorBidi" w:hAnsiTheme="majorBidi" w:cstheme="majorBidi"/>
          <w:sz w:val="24"/>
          <w:szCs w:val="24"/>
          <w:lang w:bidi="ar-EG"/>
        </w:rPr>
        <w:t> </w:t>
      </w:r>
    </w:p>
    <w:p w:rsidR="00FF26B6" w:rsidRPr="00FF26B6" w:rsidRDefault="00FF26B6" w:rsidP="00FF26B6">
      <w:pPr>
        <w:bidi w:val="0"/>
        <w:spacing w:after="12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 xml:space="preserve">In the current study, mRNA-204 decreased significantly with increasing the grade of gastritis, and with grades of H pylori infection (H pylori in stool, biopsy reported in stomach and h pylori infection). While there was no significant difference in miRNA-204 regarding esophagitis or </w:t>
      </w:r>
      <w:proofErr w:type="spellStart"/>
      <w:r w:rsidRPr="00FF26B6">
        <w:rPr>
          <w:rFonts w:asciiTheme="majorBidi" w:hAnsiTheme="majorBidi" w:cstheme="majorBidi"/>
          <w:sz w:val="24"/>
          <w:szCs w:val="24"/>
          <w:lang w:bidi="ar-EG"/>
        </w:rPr>
        <w:t>duodenitis</w:t>
      </w:r>
      <w:proofErr w:type="spellEnd"/>
      <w:r w:rsidRPr="00FF26B6">
        <w:rPr>
          <w:rFonts w:asciiTheme="majorBidi" w:hAnsiTheme="majorBidi" w:cstheme="majorBidi"/>
          <w:sz w:val="24"/>
          <w:szCs w:val="24"/>
          <w:lang w:bidi="ar-EG"/>
        </w:rPr>
        <w:t xml:space="preserve">. There was statistical significant negative correlation between mRNA 204 and (mRNA 155). While there was no statistical difference between mRNA and age, weight, height, BMI, platelets, WBCs.  </w:t>
      </w:r>
    </w:p>
    <w:p w:rsidR="00FF26B6" w:rsidRPr="00FF26B6" w:rsidRDefault="00FF26B6" w:rsidP="00FF26B6">
      <w:pPr>
        <w:bidi w:val="0"/>
        <w:spacing w:after="12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There is little research of mRNA-204 and H pylori infection in pediatric populations so we compared our results with adult studies</w:t>
      </w:r>
    </w:p>
    <w:p w:rsidR="00FF26B6" w:rsidRPr="00FF26B6" w:rsidRDefault="00FF26B6" w:rsidP="00FF26B6">
      <w:pPr>
        <w:bidi w:val="0"/>
        <w:spacing w:after="120" w:line="240" w:lineRule="auto"/>
        <w:jc w:val="lowKashida"/>
        <w:rPr>
          <w:rFonts w:asciiTheme="majorBidi" w:hAnsiTheme="majorBidi" w:cstheme="majorBidi"/>
          <w:b/>
          <w:bCs/>
          <w:sz w:val="24"/>
          <w:szCs w:val="24"/>
          <w:lang w:bidi="ar-EG"/>
        </w:rPr>
      </w:pPr>
      <w:r w:rsidRPr="00FF26B6">
        <w:rPr>
          <w:rFonts w:asciiTheme="majorBidi" w:hAnsiTheme="majorBidi" w:cstheme="majorBidi"/>
          <w:sz w:val="24"/>
          <w:szCs w:val="24"/>
          <w:lang w:bidi="ar-EG"/>
        </w:rPr>
        <w:t>In previous adult studies,</w:t>
      </w:r>
      <w:r w:rsidR="001E5377" w:rsidRPr="001E5377">
        <w:t xml:space="preserve"> </w:t>
      </w:r>
      <w:r w:rsidR="001E5377">
        <w:rPr>
          <w:rFonts w:asciiTheme="majorBidi" w:hAnsiTheme="majorBidi" w:cstheme="majorBidi"/>
          <w:sz w:val="24"/>
          <w:szCs w:val="24"/>
          <w:lang w:bidi="ar-EG"/>
        </w:rPr>
        <w:t>Zhou et al.,</w:t>
      </w:r>
      <w:r w:rsidRPr="00FF26B6">
        <w:rPr>
          <w:rFonts w:asciiTheme="majorBidi" w:hAnsiTheme="majorBidi" w:cstheme="majorBidi"/>
          <w:sz w:val="24"/>
          <w:szCs w:val="24"/>
          <w:lang w:bidi="ar-EG"/>
        </w:rPr>
        <w:t xml:space="preserve"> </w:t>
      </w:r>
      <w:r w:rsidRPr="00FF26B6">
        <w:rPr>
          <w:rFonts w:asciiTheme="majorBidi" w:hAnsiTheme="majorBidi" w:cstheme="majorBidi"/>
          <w:b/>
          <w:bCs/>
          <w:sz w:val="24"/>
          <w:szCs w:val="24"/>
          <w:lang w:bidi="ar-EG"/>
        </w:rPr>
        <w:fldChar w:fldCharType="begin" w:fldLock="1"/>
      </w:r>
      <w:r w:rsidR="001E5377">
        <w:rPr>
          <w:rFonts w:asciiTheme="majorBidi" w:hAnsiTheme="majorBidi" w:cstheme="majorBidi"/>
          <w:b/>
          <w:bCs/>
          <w:sz w:val="24"/>
          <w:szCs w:val="24"/>
          <w:lang w:bidi="ar-EG"/>
        </w:rPr>
        <w:instrText>ADDIN CSL_CITATION {"citationItems":[{"id":"ITEM-1","itemData":{"ISSN":"1932-6203","author":[{"dropping-particle":"","family":"Zhou","given":"Xiaoying","non-dropping-particle":"","parse-names":false,"suffix":""},{"dropping-particle":"","family":"Li","given":"Lin","non-dropping-particle":"","parse-names":false,"suffix":""},{"dropping-particle":"","family":"Su","given":"Jing","non-dropping-particle":"","parse-names":false,"suffix":""},{"dropping-particle":"","family":"Zhang","given":"Guoxin","non-dropping-particle":"","parse-names":false,"suffix":""}],"container-title":"PLoS One","id":"ITEM-1","issue":"7","issued":{"date-parts":[["2014"]]},"page":"e101457","publisher":"Public Library of Science San Francisco, USA","title":"Decreased miR-204 in H. pylori-associated gastric cancer promotes cancer cell proliferation and invasion by targeting SOX4","type":"article-journal","volume":"9"},"uris":["http://www.mendeley.com/documents/?uuid=13939798-f416-4041-8d65-109f59d1498f"]}],"mendeley":{"formattedCitation":"(13)","plainTextFormattedCitation":"(13)","previouslyFormattedCitation":"(13)"},"properties":{"noteIndex":0},"schema":"https://github.com/citation-style-language/schema/raw/master/csl-citation.json"}</w:instrText>
      </w:r>
      <w:r w:rsidRPr="00FF26B6">
        <w:rPr>
          <w:rFonts w:asciiTheme="majorBidi" w:hAnsiTheme="majorBidi" w:cstheme="majorBidi"/>
          <w:b/>
          <w:bCs/>
          <w:sz w:val="24"/>
          <w:szCs w:val="24"/>
          <w:lang w:bidi="ar-EG"/>
        </w:rPr>
        <w:fldChar w:fldCharType="separate"/>
      </w:r>
      <w:r w:rsidR="001E5377" w:rsidRPr="001E5377">
        <w:rPr>
          <w:rFonts w:asciiTheme="majorBidi" w:hAnsiTheme="majorBidi" w:cstheme="majorBidi"/>
          <w:bCs/>
          <w:noProof/>
          <w:sz w:val="24"/>
          <w:szCs w:val="24"/>
          <w:lang w:bidi="ar-EG"/>
        </w:rPr>
        <w:t>(13)</w:t>
      </w:r>
      <w:r w:rsidRPr="00FF26B6">
        <w:rPr>
          <w:rFonts w:asciiTheme="majorBidi" w:hAnsiTheme="majorBidi" w:cstheme="majorBidi"/>
          <w:sz w:val="24"/>
          <w:szCs w:val="24"/>
          <w:lang w:bidi="ar-EG"/>
        </w:rPr>
        <w:fldChar w:fldCharType="end"/>
      </w:r>
      <w:r w:rsidRPr="00FF26B6">
        <w:rPr>
          <w:rFonts w:asciiTheme="majorBidi" w:hAnsiTheme="majorBidi" w:cstheme="majorBidi"/>
          <w:b/>
          <w:bCs/>
          <w:sz w:val="24"/>
          <w:szCs w:val="24"/>
          <w:lang w:bidi="ar-EG"/>
        </w:rPr>
        <w:t>,</w:t>
      </w:r>
      <w:r w:rsidRPr="00FF26B6">
        <w:rPr>
          <w:rFonts w:asciiTheme="majorBidi" w:hAnsiTheme="majorBidi" w:cstheme="majorBidi"/>
          <w:sz w:val="24"/>
          <w:szCs w:val="24"/>
          <w:lang w:bidi="ar-EG"/>
        </w:rPr>
        <w:t xml:space="preserve"> who  studied miR-204 in H. pylori-associated gastric cancer, they quantified the expression of miR-204 in H. Pylori infection tissues and controls and we found that the miR-204 expression is significantly lower in H. Pylori infected patients. They found that the expression is related to the histology of the patients, that is, the expression of miR-204 is significantly lower in H. Pylori positive patients with chronic atrophic gastritis than chronic non-atrophic gastritis. This expression pattern showed that possibility that miR-204 is related to different kinds of gastritis and the more severe the patients were, the lower the expression of miR-204 was. The results suggest that down-regulation of miR-204 in gastric cancer cell is related to its progression. </w:t>
      </w:r>
    </w:p>
    <w:p w:rsidR="00FF26B6" w:rsidRPr="00FF26B6" w:rsidRDefault="00FF26B6" w:rsidP="001E5377">
      <w:pPr>
        <w:bidi w:val="0"/>
        <w:spacing w:after="120" w:line="240" w:lineRule="auto"/>
        <w:jc w:val="lowKashida"/>
        <w:rPr>
          <w:rFonts w:asciiTheme="majorBidi" w:hAnsiTheme="majorBidi" w:cstheme="majorBidi" w:hint="cs"/>
          <w:sz w:val="24"/>
          <w:szCs w:val="24"/>
          <w:rtl/>
          <w:lang w:bidi="ar-EG"/>
        </w:rPr>
      </w:pPr>
      <w:r w:rsidRPr="00FF26B6">
        <w:rPr>
          <w:rFonts w:asciiTheme="majorBidi" w:hAnsiTheme="majorBidi" w:cstheme="majorBidi"/>
          <w:sz w:val="24"/>
          <w:szCs w:val="24"/>
          <w:lang w:bidi="ar-EG"/>
        </w:rPr>
        <w:t>In the same way,</w:t>
      </w:r>
      <w:r w:rsidR="001E5377" w:rsidRPr="001E5377">
        <w:t xml:space="preserve"> </w:t>
      </w:r>
      <w:r w:rsidR="001E5377" w:rsidRPr="001E5377">
        <w:rPr>
          <w:rFonts w:asciiTheme="majorBidi" w:hAnsiTheme="majorBidi" w:cstheme="majorBidi"/>
          <w:sz w:val="24"/>
          <w:szCs w:val="24"/>
          <w:lang w:bidi="ar-EG"/>
        </w:rPr>
        <w:t xml:space="preserve">Chen et al., </w:t>
      </w:r>
      <w:r w:rsidRPr="00FF26B6">
        <w:rPr>
          <w:rFonts w:asciiTheme="majorBidi" w:hAnsiTheme="majorBidi" w:cstheme="majorBidi"/>
          <w:b/>
          <w:bCs/>
          <w:sz w:val="24"/>
          <w:szCs w:val="24"/>
          <w:lang w:bidi="ar-EG"/>
        </w:rPr>
        <w:fldChar w:fldCharType="begin" w:fldLock="1"/>
      </w:r>
      <w:r w:rsidR="001E5377">
        <w:rPr>
          <w:rFonts w:asciiTheme="majorBidi" w:hAnsiTheme="majorBidi" w:cstheme="majorBidi"/>
          <w:b/>
          <w:bCs/>
          <w:sz w:val="24"/>
          <w:szCs w:val="24"/>
          <w:lang w:bidi="ar-EG"/>
        </w:rPr>
        <w:instrText>ADDIN CSL_CITATION {"citationItems":[{"id":"ITEM-1","itemData":{"ISSN":"0143-3334","author":[{"dropping-particle":"","family":"Chen","given":"Peizhan","non-dropping-particle":"","parse-names":false,"suffix":""},{"dropping-particle":"","family":"Guo","given":"He","non-dropping-particle":"","parse-names":false,"suffix":""},{"dropping-particle":"","family":"Wu","given":"Xuming","non-dropping-particle":"","parse-names":false,"suffix":""},{"dropping-particle":"","family":"Li","given":"Jingquan","non-dropping-particle":"","parse-names":false,"suffix":""},{"dropping-particle":"","family":"Duan","given":"Xiaohua","non-dropping-particle":"","parse-names":false,"suffix":""},{"dropping-particle":"","family":"Ba","given":"Qian","non-dropping-particle":"","parse-names":false,"suffix":""},{"dropping-particle":"","family":"Wang","given":"Hui","non-dropping-particle":"","parse-names":false,"suffix":""}],"container-title":"Carcinogenesis","id":"ITEM-1","issue":"4","issued":{"date-parts":[["2020"]]},"page":"430-441","publisher":"Oxford University Press UK","title":"Epigenetic silencing of microRNA-204 by Helicobacter pylori augments the NF-κB signaling pathway in gastric cancer development and progression","type":"article-journal","volume":"41"},"uris":["http://www.mendeley.com/documents/?uuid=9cedc516-be95-4217-9a50-08022d3dc403"]}],"mendeley":{"formattedCitation":"(8)","plainTextFormattedCitation":"(8)","previouslyFormattedCitation":"(8)"},"properties":{"noteIndex":0},"schema":"https://github.com/citation-style-language/schema/raw/master/csl-citation.json"}</w:instrText>
      </w:r>
      <w:r w:rsidRPr="00FF26B6">
        <w:rPr>
          <w:rFonts w:asciiTheme="majorBidi" w:hAnsiTheme="majorBidi" w:cstheme="majorBidi"/>
          <w:b/>
          <w:bCs/>
          <w:sz w:val="24"/>
          <w:szCs w:val="24"/>
          <w:lang w:bidi="ar-EG"/>
        </w:rPr>
        <w:fldChar w:fldCharType="separate"/>
      </w:r>
      <w:r w:rsidR="001E5377" w:rsidRPr="001E5377">
        <w:rPr>
          <w:rFonts w:asciiTheme="majorBidi" w:hAnsiTheme="majorBidi" w:cstheme="majorBidi"/>
          <w:bCs/>
          <w:noProof/>
          <w:sz w:val="24"/>
          <w:szCs w:val="24"/>
          <w:lang w:bidi="ar-EG"/>
        </w:rPr>
        <w:t>(8)</w:t>
      </w:r>
      <w:r w:rsidRPr="00FF26B6">
        <w:rPr>
          <w:rFonts w:asciiTheme="majorBidi" w:hAnsiTheme="majorBidi" w:cstheme="majorBidi"/>
          <w:sz w:val="24"/>
          <w:szCs w:val="24"/>
          <w:lang w:bidi="ar-EG"/>
        </w:rPr>
        <w:fldChar w:fldCharType="end"/>
      </w:r>
      <w:r w:rsidRPr="00FF26B6">
        <w:rPr>
          <w:rFonts w:asciiTheme="majorBidi" w:hAnsiTheme="majorBidi" w:cstheme="majorBidi"/>
          <w:b/>
          <w:bCs/>
          <w:sz w:val="24"/>
          <w:szCs w:val="24"/>
          <w:lang w:bidi="ar-EG"/>
        </w:rPr>
        <w:t>,</w:t>
      </w:r>
      <w:r w:rsidRPr="00FF26B6">
        <w:rPr>
          <w:rFonts w:asciiTheme="majorBidi" w:hAnsiTheme="majorBidi" w:cstheme="majorBidi"/>
          <w:sz w:val="24"/>
          <w:szCs w:val="24"/>
          <w:lang w:bidi="ar-EG"/>
        </w:rPr>
        <w:t xml:space="preserve"> who observed that MicroRNA-204 was epigenetically down-regulated by H. pylori infection in gastric mucosal cells. It led to enhanced BIRC2 (</w:t>
      </w:r>
      <w:proofErr w:type="spellStart"/>
      <w:r w:rsidRPr="00FF26B6">
        <w:rPr>
          <w:rFonts w:asciiTheme="majorBidi" w:hAnsiTheme="majorBidi" w:cstheme="majorBidi"/>
          <w:sz w:val="24"/>
          <w:szCs w:val="24"/>
          <w:lang w:bidi="ar-EG"/>
        </w:rPr>
        <w:t>baculoviral</w:t>
      </w:r>
      <w:proofErr w:type="spellEnd"/>
      <w:r w:rsidRPr="00FF26B6">
        <w:rPr>
          <w:rFonts w:asciiTheme="majorBidi" w:hAnsiTheme="majorBidi" w:cstheme="majorBidi"/>
          <w:sz w:val="24"/>
          <w:szCs w:val="24"/>
          <w:lang w:bidi="ar-EG"/>
        </w:rPr>
        <w:t xml:space="preserve"> IAP repeat containing 2) expression level and BIRC2/TNF-a/NF-kB signaling pathway activities, which promoted angiogenesis and metastasis of gastric cancer cells.</w:t>
      </w:r>
    </w:p>
    <w:p w:rsidR="00FF26B6" w:rsidRPr="00FF26B6" w:rsidRDefault="00FF26B6" w:rsidP="00FF26B6">
      <w:pPr>
        <w:bidi w:val="0"/>
        <w:spacing w:after="12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 xml:space="preserve">Studies have shown that miR-204 expression is significantly lower in H. pylori-positive gastric tissues and cells compared to healthy or H. pylori-negative controls. The down-regulation of miR-204 is associated with more severe gastritis and higher stages of gastric cancer. When miR-204 is down-regulated by H. pylori, its target gene </w:t>
      </w:r>
      <w:r w:rsidRPr="00FF26B6">
        <w:rPr>
          <w:rFonts w:asciiTheme="majorBidi" w:hAnsiTheme="majorBidi" w:cstheme="majorBidi"/>
          <w:b/>
          <w:bCs/>
          <w:sz w:val="24"/>
          <w:szCs w:val="24"/>
          <w:lang w:bidi="ar-EG"/>
        </w:rPr>
        <w:fldChar w:fldCharType="begin" w:fldLock="1"/>
      </w:r>
      <w:r w:rsidR="001E5377">
        <w:rPr>
          <w:rFonts w:asciiTheme="majorBidi" w:hAnsiTheme="majorBidi" w:cstheme="majorBidi"/>
          <w:b/>
          <w:bCs/>
          <w:sz w:val="24"/>
          <w:szCs w:val="24"/>
          <w:lang w:bidi="ar-EG"/>
        </w:rPr>
        <w:instrText>ADDIN CSL_CITATION {"citationItems":[{"id":"ITEM-1","itemData":{"ISSN":"1043-6618","author":[{"dropping-particle":"","family":"Xu","given":"Huimei","non-dropping-particle":"","parse-names":false,"suffix":""},{"dropping-particle":"","family":"Huang","given":"Ke","non-dropping-particle":"","parse-names":false,"suffix":""},{"dropping-particle":"","family":"Shi","given":"Mingxuan","non-dropping-particle":"","parse-names":false,"suffix":""},{"dropping-particle":"","family":"Gong","given":"Hang","non-dropping-particle":"","parse-names":false,"suffix":""},{"dropping-particle":"","family":"Han","given":"Mengyu","non-dropping-particle":"","parse-names":false,"suffix":""},{"dropping-particle":"","family":"Tian","given":"Wenji","non-dropping-particle":"","parse-names":false,"suffix":""},{"dropping-particle":"","family":"Wang","given":"Xiaoying","non-dropping-particle":"","parse-names":false,"suffix":""},{"dropping-particle":"","family":"Zhang","given":"Dekui","non-dropping-particle":"","parse-names":false,"suffix":""}],"container-title":"Pharmacological Research","id":"ITEM-1","issued":{"date-parts":[["2024"]]},"page":"107216","publisher":"Elsevier","title":"MicroRNAs in Helicobacter pylori-infected gastric cancer: Function and clinical application","type":"article-journal"},"uris":["http://www.mendeley.com/documents/?uuid=a5c2969f-dcff-4b04-9309-d6bae5a3b0a4"]}],"mendeley":{"formattedCitation":"(5)","plainTextFormattedCitation":"(5)","previouslyFormattedCitation":"(5)"},"properties":{"noteIndex":0},"schema":"https://github.com/citation-style-language/schema/raw/master/csl-citation.json"}</w:instrText>
      </w:r>
      <w:r w:rsidRPr="00FF26B6">
        <w:rPr>
          <w:rFonts w:asciiTheme="majorBidi" w:hAnsiTheme="majorBidi" w:cstheme="majorBidi"/>
          <w:b/>
          <w:bCs/>
          <w:sz w:val="24"/>
          <w:szCs w:val="24"/>
          <w:lang w:bidi="ar-EG"/>
        </w:rPr>
        <w:fldChar w:fldCharType="separate"/>
      </w:r>
      <w:r w:rsidR="00C641F3" w:rsidRPr="00C641F3">
        <w:rPr>
          <w:rFonts w:asciiTheme="majorBidi" w:hAnsiTheme="majorBidi" w:cstheme="majorBidi"/>
          <w:bCs/>
          <w:noProof/>
          <w:sz w:val="24"/>
          <w:szCs w:val="24"/>
          <w:lang w:bidi="ar-EG"/>
        </w:rPr>
        <w:t>(5)</w:t>
      </w:r>
      <w:r w:rsidRPr="00FF26B6">
        <w:rPr>
          <w:rFonts w:asciiTheme="majorBidi" w:hAnsiTheme="majorBidi" w:cstheme="majorBidi"/>
          <w:sz w:val="24"/>
          <w:szCs w:val="24"/>
          <w:lang w:bidi="ar-EG"/>
        </w:rPr>
        <w:fldChar w:fldCharType="end"/>
      </w:r>
      <w:r w:rsidRPr="00FF26B6">
        <w:rPr>
          <w:rFonts w:asciiTheme="majorBidi" w:hAnsiTheme="majorBidi" w:cstheme="majorBidi"/>
          <w:b/>
          <w:bCs/>
          <w:sz w:val="24"/>
          <w:szCs w:val="24"/>
          <w:lang w:bidi="ar-EG"/>
        </w:rPr>
        <w:t>.</w:t>
      </w:r>
    </w:p>
    <w:p w:rsidR="00FF26B6" w:rsidRPr="00FF26B6" w:rsidRDefault="00FF26B6" w:rsidP="00FF26B6">
      <w:pPr>
        <w:bidi w:val="0"/>
        <w:spacing w:after="12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 xml:space="preserve">In the present study, mRNA-155 increased significantly with increasing the grade of gastritis, and with grade of H pylori infection. While there was no significant difference in miRNA-155 regarding esophagitis or </w:t>
      </w:r>
      <w:proofErr w:type="spellStart"/>
      <w:r w:rsidRPr="00FF26B6">
        <w:rPr>
          <w:rFonts w:asciiTheme="majorBidi" w:hAnsiTheme="majorBidi" w:cstheme="majorBidi"/>
          <w:sz w:val="24"/>
          <w:szCs w:val="24"/>
          <w:lang w:bidi="ar-EG"/>
        </w:rPr>
        <w:t>duodenitis</w:t>
      </w:r>
      <w:proofErr w:type="spellEnd"/>
      <w:r w:rsidRPr="00FF26B6">
        <w:rPr>
          <w:rFonts w:asciiTheme="majorBidi" w:hAnsiTheme="majorBidi" w:cstheme="majorBidi"/>
          <w:sz w:val="24"/>
          <w:szCs w:val="24"/>
          <w:lang w:bidi="ar-EG"/>
        </w:rPr>
        <w:t xml:space="preserve">. There was statistical significant negative correlation between mRNA 155 and (mRNA 204), there was no statistical significant negative correlation between mRNA 155 and (weight, BMI, hemoglobin). While there was no statistical difference between mRNA and age, height, platelets, WBCs.  </w:t>
      </w:r>
    </w:p>
    <w:p w:rsidR="00FF26B6" w:rsidRPr="00FF26B6" w:rsidRDefault="00FF26B6" w:rsidP="00FF26B6">
      <w:pPr>
        <w:bidi w:val="0"/>
        <w:spacing w:after="12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In the same line,</w:t>
      </w:r>
      <w:r w:rsidR="001E5377" w:rsidRPr="001E5377">
        <w:t xml:space="preserve"> </w:t>
      </w:r>
      <w:r w:rsidR="001E5377" w:rsidRPr="001E5377">
        <w:rPr>
          <w:rFonts w:asciiTheme="majorBidi" w:hAnsiTheme="majorBidi" w:cstheme="majorBidi"/>
          <w:sz w:val="24"/>
          <w:szCs w:val="24"/>
          <w:lang w:bidi="ar-EG"/>
        </w:rPr>
        <w:t>Cortés-</w:t>
      </w:r>
      <w:proofErr w:type="spellStart"/>
      <w:r w:rsidR="001E5377" w:rsidRPr="001E5377">
        <w:rPr>
          <w:rFonts w:asciiTheme="majorBidi" w:hAnsiTheme="majorBidi" w:cstheme="majorBidi"/>
          <w:sz w:val="24"/>
          <w:szCs w:val="24"/>
          <w:lang w:bidi="ar-EG"/>
        </w:rPr>
        <w:t>Márquez</w:t>
      </w:r>
      <w:proofErr w:type="spellEnd"/>
      <w:r w:rsidR="001E5377" w:rsidRPr="001E5377">
        <w:rPr>
          <w:rFonts w:asciiTheme="majorBidi" w:hAnsiTheme="majorBidi" w:cstheme="majorBidi"/>
          <w:sz w:val="24"/>
          <w:szCs w:val="24"/>
          <w:lang w:bidi="ar-EG"/>
        </w:rPr>
        <w:t xml:space="preserve"> et al.,</w:t>
      </w:r>
      <w:r w:rsidRPr="00FF26B6">
        <w:rPr>
          <w:rFonts w:asciiTheme="majorBidi" w:hAnsiTheme="majorBidi" w:cstheme="majorBidi"/>
          <w:sz w:val="24"/>
          <w:szCs w:val="24"/>
          <w:lang w:bidi="ar-EG"/>
        </w:rPr>
        <w:t xml:space="preserve"> </w:t>
      </w:r>
      <w:r w:rsidRPr="00FF26B6">
        <w:rPr>
          <w:rFonts w:asciiTheme="majorBidi" w:hAnsiTheme="majorBidi" w:cstheme="majorBidi"/>
          <w:b/>
          <w:bCs/>
          <w:sz w:val="24"/>
          <w:szCs w:val="24"/>
          <w:lang w:bidi="ar-EG"/>
        </w:rPr>
        <w:fldChar w:fldCharType="begin" w:fldLock="1"/>
      </w:r>
      <w:r w:rsidR="001E5377">
        <w:rPr>
          <w:rFonts w:asciiTheme="majorBidi" w:hAnsiTheme="majorBidi" w:cstheme="majorBidi"/>
          <w:b/>
          <w:bCs/>
          <w:sz w:val="24"/>
          <w:szCs w:val="24"/>
          <w:lang w:bidi="ar-EG"/>
        </w:rPr>
        <w:instrText>ADDIN CSL_CITATION {"citationItems":[{"id":"ITEM-1","itemData":{"ISSN":"1471-2334","author":[{"dropping-particle":"","family":"Cortés-Márquez","given":"Ana Caren","non-dropping-particle":"","parse-names":false,"suffix":""},{"dropping-particle":"","family":"Mendoza-Elizalde","given":"Sandra","non-dropping-particle":"","parse-names":false,"suffix":""},{"dropping-particle":"","family":"Arenas-Huertero","given":"Francisco","non-dropping-particle":"","parse-names":false,"suffix":""},{"dropping-particle":"","family":"Trillo-Tinoco","given":"Jimena","non-dropping-particle":"","parse-names":false,"suffix":""},{"dropping-particle":"","family":"Valencia-Mayoral","given":"Pedro","non-dropping-particle":"","parse-names":false,"suffix":""},{"dropping-particle":"","family":"Consuelo-Sánchez","given":"Alejandra","non-dropping-particle":"","parse-names":false,"suffix":""},{"dropping-particle":"","family":"Zarate-Franco","given":"Jonathan","non-dropping-particle":"","parse-names":false,"suffix":""},{"dropping-particle":"","family":"Dionicio-Avendaño","given":"Ada Ruth","non-dropping-particle":"","parse-names":false,"suffix":""},{"dropping-particle":"","family":"Herrera-Esquivel","given":"José de Jesús","non-dropping-particle":"","parse-names":false,"suffix":""},{"dropping-particle":"","family":"Recinos-Carrera","given":"Elio Germán","non-dropping-particle":"","parse-names":false,"suffix":""}],"container-title":"BMC Infectious Diseases","id":"ITEM-1","issue":"1","issued":{"date-parts":[["2018"]]},"page":"1-9","publisher":"BioMed Central","title":"Differential expression of miRNA-146a and miRNA-155 in gastritis induced by Helicobacter pylori infection in paediatric patients, adults, and an animal model","type":"article-journal","volume":"18"},"uris":["http://www.mendeley.com/documents/?uuid=6032b22a-d710-455d-b4da-d57991c83da2"]}],"mendeley":{"formattedCitation":"(14)","plainTextFormattedCitation":"(14)","previouslyFormattedCitation":"(14)"},"properties":{"noteIndex":0},"schema":"https://github.com/citation-style-language/schema/raw/master/csl-citation.json"}</w:instrText>
      </w:r>
      <w:r w:rsidRPr="00FF26B6">
        <w:rPr>
          <w:rFonts w:asciiTheme="majorBidi" w:hAnsiTheme="majorBidi" w:cstheme="majorBidi"/>
          <w:b/>
          <w:bCs/>
          <w:sz w:val="24"/>
          <w:szCs w:val="24"/>
          <w:lang w:bidi="ar-EG"/>
        </w:rPr>
        <w:fldChar w:fldCharType="separate"/>
      </w:r>
      <w:r w:rsidR="001E5377" w:rsidRPr="001E5377">
        <w:rPr>
          <w:rFonts w:asciiTheme="majorBidi" w:hAnsiTheme="majorBidi" w:cstheme="majorBidi"/>
          <w:bCs/>
          <w:noProof/>
          <w:sz w:val="24"/>
          <w:szCs w:val="24"/>
          <w:lang w:bidi="ar-EG"/>
        </w:rPr>
        <w:t>(14)</w:t>
      </w:r>
      <w:r w:rsidRPr="00FF26B6">
        <w:rPr>
          <w:rFonts w:asciiTheme="majorBidi" w:hAnsiTheme="majorBidi" w:cstheme="majorBidi"/>
          <w:sz w:val="24"/>
          <w:szCs w:val="24"/>
          <w:lang w:bidi="ar-EG"/>
        </w:rPr>
        <w:fldChar w:fldCharType="end"/>
      </w:r>
      <w:r w:rsidRPr="00FF26B6">
        <w:rPr>
          <w:rFonts w:asciiTheme="majorBidi" w:hAnsiTheme="majorBidi" w:cstheme="majorBidi"/>
          <w:b/>
          <w:bCs/>
          <w:sz w:val="24"/>
          <w:szCs w:val="24"/>
          <w:lang w:bidi="ar-EG"/>
        </w:rPr>
        <w:t>,</w:t>
      </w:r>
      <w:r w:rsidRPr="00FF26B6">
        <w:rPr>
          <w:rFonts w:asciiTheme="majorBidi" w:hAnsiTheme="majorBidi" w:cstheme="majorBidi"/>
          <w:sz w:val="24"/>
          <w:szCs w:val="24"/>
          <w:lang w:bidi="ar-EG"/>
        </w:rPr>
        <w:t xml:space="preserve"> who studied differential expression of miRNA-146a and miRNA-155 in gastritis induced by Helicobacter pylori infection in </w:t>
      </w:r>
      <w:proofErr w:type="spellStart"/>
      <w:r w:rsidRPr="00FF26B6">
        <w:rPr>
          <w:rFonts w:asciiTheme="majorBidi" w:hAnsiTheme="majorBidi" w:cstheme="majorBidi"/>
          <w:sz w:val="24"/>
          <w:szCs w:val="24"/>
          <w:lang w:bidi="ar-EG"/>
        </w:rPr>
        <w:t>paediatric</w:t>
      </w:r>
      <w:proofErr w:type="spellEnd"/>
      <w:r w:rsidRPr="00FF26B6">
        <w:rPr>
          <w:rFonts w:asciiTheme="majorBidi" w:hAnsiTheme="majorBidi" w:cstheme="majorBidi"/>
          <w:sz w:val="24"/>
          <w:szCs w:val="24"/>
          <w:lang w:bidi="ar-EG"/>
        </w:rPr>
        <w:t xml:space="preserve"> patients, adults, and an animal model, they included 16 children with H pylori and 9 children without H pylori, the expression of miRNA-155 in infected children increased by 79.4-fold (on average), compared to that observed in the control group. </w:t>
      </w:r>
      <w:r w:rsidRPr="00FF26B6">
        <w:rPr>
          <w:rFonts w:asciiTheme="majorBidi" w:hAnsiTheme="majorBidi" w:cstheme="majorBidi"/>
          <w:sz w:val="24"/>
          <w:szCs w:val="24"/>
          <w:lang w:bidi="ar-EG"/>
        </w:rPr>
        <w:lastRenderedPageBreak/>
        <w:t>However, these results were not significant (</w:t>
      </w:r>
      <w:r w:rsidRPr="00FF26B6">
        <w:rPr>
          <w:rFonts w:asciiTheme="majorBidi" w:hAnsiTheme="majorBidi" w:cstheme="majorBidi"/>
          <w:i/>
          <w:iCs/>
          <w:sz w:val="24"/>
          <w:szCs w:val="24"/>
          <w:lang w:bidi="ar-EG"/>
        </w:rPr>
        <w:t>p</w:t>
      </w:r>
      <w:r w:rsidRPr="00FF26B6">
        <w:rPr>
          <w:rFonts w:asciiTheme="majorBidi" w:hAnsiTheme="majorBidi" w:cstheme="majorBidi"/>
          <w:sz w:val="24"/>
          <w:szCs w:val="24"/>
          <w:lang w:bidi="ar-EG"/>
        </w:rPr>
        <w:t> = 0.12 and </w:t>
      </w:r>
      <w:r w:rsidRPr="00FF26B6">
        <w:rPr>
          <w:rFonts w:asciiTheme="majorBidi" w:hAnsiTheme="majorBidi" w:cstheme="majorBidi"/>
          <w:i/>
          <w:iCs/>
          <w:sz w:val="24"/>
          <w:szCs w:val="24"/>
          <w:lang w:bidi="ar-EG"/>
        </w:rPr>
        <w:t>p</w:t>
      </w:r>
      <w:r w:rsidRPr="00FF26B6">
        <w:rPr>
          <w:rFonts w:asciiTheme="majorBidi" w:hAnsiTheme="majorBidi" w:cstheme="majorBidi"/>
          <w:sz w:val="24"/>
          <w:szCs w:val="24"/>
          <w:lang w:bidi="ar-EG"/>
        </w:rPr>
        <w:t> = 0.07 respectively). Additionally, the expression levels of miRNA-155 increased by an average of 62-fold, respectively, in adult patients with follicular gastritis when compared to those of the controls.  This difference could be explained by the small sample size in this study.</w:t>
      </w:r>
    </w:p>
    <w:p w:rsidR="00FF26B6" w:rsidRPr="00FF26B6" w:rsidRDefault="00FF26B6" w:rsidP="00F93618">
      <w:pPr>
        <w:bidi w:val="0"/>
        <w:spacing w:before="120" w:after="0" w:line="240" w:lineRule="auto"/>
        <w:jc w:val="lowKashida"/>
        <w:rPr>
          <w:rFonts w:asciiTheme="majorBidi" w:hAnsiTheme="majorBidi" w:cstheme="majorBidi"/>
          <w:sz w:val="24"/>
          <w:szCs w:val="24"/>
          <w:lang w:bidi="ar-EG"/>
        </w:rPr>
      </w:pPr>
      <w:r w:rsidRPr="00FF26B6">
        <w:rPr>
          <w:rFonts w:asciiTheme="majorBidi" w:hAnsiTheme="majorBidi" w:cstheme="majorBidi"/>
          <w:sz w:val="24"/>
          <w:szCs w:val="24"/>
          <w:lang w:bidi="ar-EG"/>
        </w:rPr>
        <w:t>There is shortage in studies assessed micro RNA in children with H pylori, as most studied concentrated in adults especially in patients with metaplasia, or gastric cancer. However, in our study we found no cases with atrophy or metaplasia. Thus our study, opened a new era for early prediction of cancer possibility, to prevent future sequences in children with H pylori.</w:t>
      </w:r>
    </w:p>
    <w:p w:rsidR="00DD1A92" w:rsidRPr="00DD1A92" w:rsidRDefault="00DD1A92" w:rsidP="00F93618">
      <w:pPr>
        <w:bidi w:val="0"/>
        <w:spacing w:before="120" w:after="0" w:line="240" w:lineRule="auto"/>
        <w:rPr>
          <w:rFonts w:asciiTheme="majorBidi" w:hAnsiTheme="majorBidi" w:cstheme="majorBidi"/>
          <w:b/>
          <w:bCs/>
          <w:sz w:val="24"/>
          <w:szCs w:val="24"/>
          <w:u w:val="single"/>
          <w:lang w:bidi="ar-EG"/>
        </w:rPr>
      </w:pPr>
      <w:r w:rsidRPr="00DD1A92">
        <w:rPr>
          <w:rFonts w:asciiTheme="majorBidi" w:hAnsiTheme="majorBidi" w:cstheme="majorBidi"/>
          <w:b/>
          <w:bCs/>
          <w:sz w:val="24"/>
          <w:szCs w:val="24"/>
          <w:u w:val="single"/>
          <w:lang w:bidi="ar-EG"/>
        </w:rPr>
        <w:t>Conclusion</w:t>
      </w:r>
    </w:p>
    <w:p w:rsidR="00190A7C" w:rsidRPr="00DD1A92" w:rsidRDefault="00CE77CD" w:rsidP="00F93618">
      <w:pPr>
        <w:bidi w:val="0"/>
        <w:spacing w:before="120" w:after="0" w:line="240" w:lineRule="auto"/>
        <w:jc w:val="lowKashida"/>
        <w:rPr>
          <w:rFonts w:asciiTheme="majorBidi" w:hAnsiTheme="majorBidi" w:cstheme="majorBidi"/>
          <w:sz w:val="24"/>
          <w:szCs w:val="24"/>
          <w:lang w:bidi="ar-EG"/>
        </w:rPr>
      </w:pPr>
      <w:r w:rsidRPr="00DD1A92">
        <w:rPr>
          <w:rFonts w:asciiTheme="majorBidi" w:hAnsiTheme="majorBidi" w:cstheme="majorBidi"/>
          <w:sz w:val="24"/>
          <w:szCs w:val="24"/>
          <w:lang w:bidi="ar-EG"/>
        </w:rPr>
        <w:t>Increased</w:t>
      </w:r>
      <w:r w:rsidRPr="00DD1A92">
        <w:rPr>
          <w:rFonts w:asciiTheme="majorBidi" w:hAnsiTheme="majorBidi" w:cstheme="majorBidi"/>
          <w:sz w:val="24"/>
          <w:szCs w:val="24"/>
          <w:lang w:bidi="ar-EG"/>
        </w:rPr>
        <w:t xml:space="preserve"> expression of mRNA 155 and decreased expression of mRNA 204 is associated with H pylori infection and gastritis severity. </w:t>
      </w:r>
      <w:proofErr w:type="gramStart"/>
      <w:r w:rsidRPr="00DD1A92">
        <w:rPr>
          <w:rFonts w:asciiTheme="majorBidi" w:hAnsiTheme="majorBidi" w:cstheme="majorBidi"/>
          <w:sz w:val="24"/>
          <w:szCs w:val="24"/>
          <w:lang w:bidi="ar-EG"/>
        </w:rPr>
        <w:t>mRNA</w:t>
      </w:r>
      <w:proofErr w:type="gramEnd"/>
      <w:r w:rsidRPr="00DD1A92">
        <w:rPr>
          <w:rFonts w:asciiTheme="majorBidi" w:hAnsiTheme="majorBidi" w:cstheme="majorBidi"/>
          <w:sz w:val="24"/>
          <w:szCs w:val="24"/>
          <w:lang w:bidi="ar-EG"/>
        </w:rPr>
        <w:t xml:space="preserve"> 155 increased significantly with increasing the grade of gastri</w:t>
      </w:r>
      <w:r w:rsidRPr="00DD1A92">
        <w:rPr>
          <w:rFonts w:asciiTheme="majorBidi" w:hAnsiTheme="majorBidi" w:cstheme="majorBidi"/>
          <w:sz w:val="24"/>
          <w:szCs w:val="24"/>
          <w:lang w:bidi="ar-EG"/>
        </w:rPr>
        <w:t xml:space="preserve">tis, mRNA 204 decreased significantly with increasing the grade of gastritis. </w:t>
      </w:r>
      <w:r w:rsidRPr="00DD1A92">
        <w:rPr>
          <w:rFonts w:asciiTheme="majorBidi" w:hAnsiTheme="majorBidi" w:cstheme="majorBidi"/>
          <w:sz w:val="24"/>
          <w:szCs w:val="24"/>
          <w:lang w:bidi="ar-EG"/>
        </w:rPr>
        <w:t>T</w:t>
      </w:r>
      <w:r w:rsidRPr="00DD1A92">
        <w:rPr>
          <w:rFonts w:asciiTheme="majorBidi" w:hAnsiTheme="majorBidi" w:cstheme="majorBidi"/>
          <w:sz w:val="24"/>
          <w:szCs w:val="24"/>
          <w:lang w:bidi="ar-EG"/>
        </w:rPr>
        <w:t xml:space="preserve">hey </w:t>
      </w:r>
      <w:r w:rsidRPr="00DD1A92">
        <w:rPr>
          <w:rFonts w:asciiTheme="majorBidi" w:hAnsiTheme="majorBidi" w:cstheme="majorBidi"/>
          <w:sz w:val="24"/>
          <w:szCs w:val="24"/>
          <w:lang w:bidi="ar-EG"/>
        </w:rPr>
        <w:t xml:space="preserve">can be used as predictors of risk of </w:t>
      </w:r>
      <w:r w:rsidRPr="00DD1A92">
        <w:rPr>
          <w:rFonts w:asciiTheme="majorBidi" w:hAnsiTheme="majorBidi" w:cstheme="majorBidi"/>
          <w:sz w:val="24"/>
          <w:szCs w:val="24"/>
          <w:lang w:bidi="ar-EG"/>
        </w:rPr>
        <w:t>H</w:t>
      </w:r>
      <w:r w:rsidRPr="00DD1A92">
        <w:rPr>
          <w:rFonts w:asciiTheme="majorBidi" w:hAnsiTheme="majorBidi" w:cstheme="majorBidi"/>
          <w:sz w:val="24"/>
          <w:szCs w:val="24"/>
          <w:lang w:bidi="ar-EG"/>
        </w:rPr>
        <w:t xml:space="preserve"> pylori</w:t>
      </w:r>
      <w:r w:rsidR="00DD1A92" w:rsidRPr="00DD1A92">
        <w:rPr>
          <w:rFonts w:asciiTheme="majorBidi" w:hAnsiTheme="majorBidi" w:cstheme="majorBidi"/>
          <w:sz w:val="24"/>
          <w:szCs w:val="24"/>
          <w:lang w:bidi="ar-EG"/>
        </w:rPr>
        <w:t xml:space="preserve"> infection</w:t>
      </w:r>
      <w:r w:rsidRPr="00DD1A92">
        <w:rPr>
          <w:rFonts w:asciiTheme="majorBidi" w:hAnsiTheme="majorBidi" w:cstheme="majorBidi"/>
          <w:sz w:val="24"/>
          <w:szCs w:val="24"/>
          <w:lang w:bidi="ar-EG"/>
        </w:rPr>
        <w:t xml:space="preserve"> </w:t>
      </w:r>
      <w:r w:rsidR="00DD1A92" w:rsidRPr="00DD1A92">
        <w:rPr>
          <w:rFonts w:asciiTheme="majorBidi" w:hAnsiTheme="majorBidi" w:cstheme="majorBidi"/>
          <w:sz w:val="24"/>
          <w:szCs w:val="24"/>
          <w:lang w:bidi="ar-EG"/>
        </w:rPr>
        <w:t>i</w:t>
      </w:r>
      <w:r w:rsidRPr="00DD1A92">
        <w:rPr>
          <w:rFonts w:asciiTheme="majorBidi" w:hAnsiTheme="majorBidi" w:cstheme="majorBidi"/>
          <w:sz w:val="24"/>
          <w:szCs w:val="24"/>
          <w:lang w:bidi="ar-EG"/>
        </w:rPr>
        <w:t>n children</w:t>
      </w:r>
    </w:p>
    <w:p w:rsidR="008B10FF" w:rsidRPr="008B10FF" w:rsidRDefault="008B10FF" w:rsidP="00F93618">
      <w:pPr>
        <w:bidi w:val="0"/>
        <w:spacing w:before="120" w:after="0" w:line="240" w:lineRule="auto"/>
        <w:jc w:val="lowKashida"/>
        <w:rPr>
          <w:rFonts w:asciiTheme="majorBidi" w:hAnsiTheme="majorBidi" w:cstheme="majorBidi"/>
          <w:sz w:val="24"/>
          <w:szCs w:val="24"/>
          <w:lang w:bidi="ar-EG"/>
        </w:rPr>
      </w:pPr>
      <w:r w:rsidRPr="008B10FF">
        <w:rPr>
          <w:rFonts w:asciiTheme="majorBidi" w:hAnsiTheme="majorBidi" w:cstheme="majorBidi"/>
          <w:sz w:val="24"/>
          <w:szCs w:val="24"/>
          <w:lang w:bidi="ar-EG"/>
        </w:rPr>
        <w:t>Further larger studies are needed to approve these results and to evaluate multiple miRNAs in relation to childhood and adolescent gastritis and expanding the research on wider populations might represent important steps towards establishing the new preventive measures.</w:t>
      </w:r>
    </w:p>
    <w:p w:rsidR="00F93618" w:rsidRPr="00F93618" w:rsidRDefault="00F93618" w:rsidP="00F93618">
      <w:pPr>
        <w:bidi w:val="0"/>
        <w:spacing w:before="120" w:after="0" w:line="240" w:lineRule="auto"/>
        <w:rPr>
          <w:rFonts w:asciiTheme="majorBidi" w:hAnsiTheme="majorBidi" w:cstheme="majorBidi"/>
          <w:sz w:val="24"/>
          <w:szCs w:val="24"/>
        </w:rPr>
      </w:pPr>
      <w:r w:rsidRPr="00F93618">
        <w:rPr>
          <w:rFonts w:asciiTheme="majorBidi" w:hAnsiTheme="majorBidi" w:cstheme="majorBidi"/>
          <w:b/>
          <w:sz w:val="24"/>
          <w:szCs w:val="24"/>
          <w:u w:val="single"/>
        </w:rPr>
        <w:t>Sources of funding</w:t>
      </w:r>
    </w:p>
    <w:p w:rsidR="00F93618" w:rsidRPr="00F93618" w:rsidRDefault="00F93618" w:rsidP="00F93618">
      <w:pPr>
        <w:bidi w:val="0"/>
        <w:spacing w:before="120" w:after="0" w:line="240" w:lineRule="auto"/>
        <w:jc w:val="lowKashida"/>
        <w:rPr>
          <w:rFonts w:asciiTheme="majorBidi" w:hAnsiTheme="majorBidi" w:cstheme="majorBidi"/>
          <w:sz w:val="24"/>
          <w:szCs w:val="24"/>
        </w:rPr>
      </w:pPr>
      <w:r w:rsidRPr="00F93618">
        <w:rPr>
          <w:rFonts w:asciiTheme="majorBidi" w:hAnsiTheme="majorBidi" w:cstheme="majorBidi"/>
          <w:sz w:val="24"/>
          <w:szCs w:val="24"/>
        </w:rPr>
        <w:t>This research did not receive any specific grant from funding agencies in the public, commercial, or not-for-profit sectors.</w:t>
      </w:r>
    </w:p>
    <w:p w:rsidR="00F93618" w:rsidRPr="00F93618" w:rsidRDefault="00F93618" w:rsidP="00F93618">
      <w:pPr>
        <w:bidi w:val="0"/>
        <w:spacing w:before="120" w:after="0" w:line="240" w:lineRule="auto"/>
        <w:jc w:val="lowKashida"/>
        <w:rPr>
          <w:rFonts w:asciiTheme="majorBidi" w:hAnsiTheme="majorBidi" w:cstheme="majorBidi"/>
          <w:b/>
          <w:sz w:val="24"/>
          <w:szCs w:val="24"/>
        </w:rPr>
      </w:pPr>
      <w:r w:rsidRPr="00F93618">
        <w:rPr>
          <w:rFonts w:asciiTheme="majorBidi" w:hAnsiTheme="majorBidi" w:cstheme="majorBidi"/>
          <w:b/>
          <w:sz w:val="24"/>
          <w:szCs w:val="24"/>
          <w:u w:val="single"/>
        </w:rPr>
        <w:t>Author contribution</w:t>
      </w:r>
    </w:p>
    <w:p w:rsidR="00F93618" w:rsidRPr="00F93618" w:rsidRDefault="00F93618" w:rsidP="00F93618">
      <w:pPr>
        <w:bidi w:val="0"/>
        <w:spacing w:before="120" w:after="0" w:line="240" w:lineRule="auto"/>
        <w:jc w:val="lowKashida"/>
        <w:rPr>
          <w:rFonts w:asciiTheme="majorBidi" w:hAnsiTheme="majorBidi" w:cstheme="majorBidi"/>
          <w:b/>
          <w:sz w:val="24"/>
          <w:szCs w:val="24"/>
        </w:rPr>
      </w:pPr>
      <w:r w:rsidRPr="00F93618">
        <w:rPr>
          <w:rFonts w:asciiTheme="majorBidi" w:hAnsiTheme="majorBidi" w:cstheme="majorBidi"/>
          <w:sz w:val="24"/>
          <w:szCs w:val="24"/>
        </w:rPr>
        <w:t>Authors contributed equally to the study</w:t>
      </w:r>
      <w:r w:rsidRPr="00F93618">
        <w:rPr>
          <w:rFonts w:asciiTheme="majorBidi" w:hAnsiTheme="majorBidi" w:cstheme="majorBidi"/>
          <w:b/>
          <w:sz w:val="24"/>
          <w:szCs w:val="24"/>
        </w:rPr>
        <w:t>.</w:t>
      </w:r>
    </w:p>
    <w:p w:rsidR="00F93618" w:rsidRPr="00F93618" w:rsidRDefault="00F93618" w:rsidP="00F93618">
      <w:pPr>
        <w:bidi w:val="0"/>
        <w:spacing w:before="120" w:after="0" w:line="240" w:lineRule="auto"/>
        <w:jc w:val="lowKashida"/>
        <w:rPr>
          <w:rFonts w:asciiTheme="majorBidi" w:hAnsiTheme="majorBidi" w:cstheme="majorBidi"/>
          <w:b/>
          <w:sz w:val="24"/>
          <w:szCs w:val="24"/>
        </w:rPr>
      </w:pPr>
      <w:r w:rsidRPr="00F93618">
        <w:rPr>
          <w:rFonts w:asciiTheme="majorBidi" w:hAnsiTheme="majorBidi" w:cstheme="majorBidi"/>
          <w:b/>
          <w:sz w:val="24"/>
          <w:szCs w:val="24"/>
          <w:u w:val="single"/>
        </w:rPr>
        <w:t>Conflicts of interest</w:t>
      </w:r>
    </w:p>
    <w:p w:rsidR="00F93618" w:rsidRPr="00F93618" w:rsidRDefault="00F93618" w:rsidP="00F93618">
      <w:pPr>
        <w:bidi w:val="0"/>
        <w:spacing w:before="120" w:after="0" w:line="240" w:lineRule="auto"/>
        <w:jc w:val="lowKashida"/>
        <w:rPr>
          <w:rFonts w:asciiTheme="majorBidi" w:hAnsiTheme="majorBidi" w:cstheme="majorBidi"/>
          <w:sz w:val="24"/>
          <w:szCs w:val="24"/>
        </w:rPr>
      </w:pPr>
      <w:r w:rsidRPr="00F93618">
        <w:rPr>
          <w:rFonts w:asciiTheme="majorBidi" w:hAnsiTheme="majorBidi" w:cstheme="majorBidi"/>
          <w:sz w:val="24"/>
          <w:szCs w:val="24"/>
        </w:rPr>
        <w:t>No conflicts of interest</w:t>
      </w:r>
    </w:p>
    <w:p w:rsidR="000B3D0D" w:rsidRPr="00F93618" w:rsidRDefault="00F93618" w:rsidP="00F93618">
      <w:pPr>
        <w:bidi w:val="0"/>
        <w:spacing w:before="120" w:after="0" w:line="240" w:lineRule="auto"/>
        <w:rPr>
          <w:rFonts w:asciiTheme="majorBidi" w:hAnsiTheme="majorBidi" w:cstheme="majorBidi"/>
          <w:b/>
          <w:bCs/>
          <w:sz w:val="24"/>
          <w:szCs w:val="24"/>
          <w:u w:val="single"/>
          <w:lang w:bidi="ar-EG"/>
        </w:rPr>
      </w:pPr>
      <w:r w:rsidRPr="00F93618">
        <w:rPr>
          <w:rFonts w:asciiTheme="majorBidi" w:hAnsiTheme="majorBidi" w:cstheme="majorBidi"/>
          <w:b/>
          <w:bCs/>
          <w:sz w:val="24"/>
          <w:szCs w:val="24"/>
          <w:u w:val="single"/>
          <w:lang w:bidi="ar-EG"/>
        </w:rPr>
        <w:t xml:space="preserve">References </w:t>
      </w:r>
    </w:p>
    <w:p w:rsidR="001E5377" w:rsidRPr="001E5377" w:rsidRDefault="00C641F3" w:rsidP="0068022A">
      <w:pPr>
        <w:widowControl w:val="0"/>
        <w:autoSpaceDE w:val="0"/>
        <w:autoSpaceDN w:val="0"/>
        <w:bidi w:val="0"/>
        <w:adjustRightInd w:val="0"/>
        <w:spacing w:before="240" w:after="120" w:line="240" w:lineRule="auto"/>
        <w:ind w:left="641" w:hanging="641"/>
        <w:jc w:val="lowKashida"/>
        <w:rPr>
          <w:rFonts w:ascii="Times New Roman" w:hAnsi="Times New Roman" w:cs="Times New Roman"/>
          <w:noProof/>
          <w:sz w:val="24"/>
          <w:szCs w:val="24"/>
        </w:rPr>
      </w:pP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Mendeley Bibliography CSL_BIBLIOGRAPHY </w:instrText>
      </w:r>
      <w:r>
        <w:rPr>
          <w:rFonts w:asciiTheme="majorBidi" w:hAnsiTheme="majorBidi" w:cstheme="majorBidi"/>
          <w:sz w:val="24"/>
          <w:szCs w:val="24"/>
          <w:lang w:bidi="ar-EG"/>
        </w:rPr>
        <w:fldChar w:fldCharType="separate"/>
      </w:r>
      <w:r w:rsidR="001E5377" w:rsidRPr="001E5377">
        <w:rPr>
          <w:rFonts w:ascii="Times New Roman" w:hAnsi="Times New Roman" w:cs="Times New Roman"/>
          <w:noProof/>
          <w:sz w:val="24"/>
          <w:szCs w:val="24"/>
        </w:rPr>
        <w:t>1.</w:t>
      </w:r>
      <w:r w:rsidR="001E5377" w:rsidRPr="001E5377">
        <w:rPr>
          <w:rFonts w:ascii="Times New Roman" w:hAnsi="Times New Roman" w:cs="Times New Roman"/>
          <w:noProof/>
          <w:sz w:val="24"/>
          <w:szCs w:val="24"/>
        </w:rPr>
        <w:tab/>
        <w:t xml:space="preserve">Das S, Banerjee S, Halder P, Dutta S, Mukhopadhyay A, Koley H. A review for the prevention and management of Helicobacter pylori induced gastritis through development of novel vaccine candidates. The Microbe. 2024;4:100114. </w:t>
      </w:r>
    </w:p>
    <w:p w:rsidR="001E5377" w:rsidRPr="001E5377" w:rsidRDefault="001E5377" w:rsidP="0068022A">
      <w:pPr>
        <w:widowControl w:val="0"/>
        <w:autoSpaceDE w:val="0"/>
        <w:autoSpaceDN w:val="0"/>
        <w:bidi w:val="0"/>
        <w:adjustRightInd w:val="0"/>
        <w:spacing w:after="120" w:line="240" w:lineRule="auto"/>
        <w:ind w:left="641" w:hanging="641"/>
        <w:jc w:val="lowKashida"/>
        <w:rPr>
          <w:rFonts w:ascii="Times New Roman" w:hAnsi="Times New Roman" w:cs="Times New Roman"/>
          <w:noProof/>
          <w:sz w:val="24"/>
          <w:szCs w:val="24"/>
        </w:rPr>
      </w:pPr>
      <w:r w:rsidRPr="001E5377">
        <w:rPr>
          <w:rFonts w:ascii="Times New Roman" w:hAnsi="Times New Roman" w:cs="Times New Roman"/>
          <w:noProof/>
          <w:sz w:val="24"/>
          <w:szCs w:val="24"/>
        </w:rPr>
        <w:t>2.</w:t>
      </w:r>
      <w:r w:rsidRPr="001E5377">
        <w:rPr>
          <w:rFonts w:ascii="Times New Roman" w:hAnsi="Times New Roman" w:cs="Times New Roman"/>
          <w:noProof/>
          <w:sz w:val="24"/>
          <w:szCs w:val="24"/>
        </w:rPr>
        <w:tab/>
        <w:t xml:space="preserve">De Korwin JD. Helicobacter pylori: When to look for an infection and treat it in adults? La Rev Med Interne. 2021;42(7):482–91. </w:t>
      </w:r>
    </w:p>
    <w:p w:rsidR="001E5377" w:rsidRPr="001E5377" w:rsidRDefault="001E5377" w:rsidP="0068022A">
      <w:pPr>
        <w:widowControl w:val="0"/>
        <w:autoSpaceDE w:val="0"/>
        <w:autoSpaceDN w:val="0"/>
        <w:bidi w:val="0"/>
        <w:adjustRightInd w:val="0"/>
        <w:spacing w:after="120" w:line="240" w:lineRule="auto"/>
        <w:ind w:left="641" w:hanging="641"/>
        <w:jc w:val="lowKashida"/>
        <w:rPr>
          <w:rFonts w:ascii="Times New Roman" w:hAnsi="Times New Roman" w:cs="Times New Roman"/>
          <w:noProof/>
          <w:sz w:val="24"/>
          <w:szCs w:val="24"/>
        </w:rPr>
      </w:pPr>
      <w:r w:rsidRPr="001E5377">
        <w:rPr>
          <w:rFonts w:ascii="Times New Roman" w:hAnsi="Times New Roman" w:cs="Times New Roman"/>
          <w:noProof/>
          <w:sz w:val="24"/>
          <w:szCs w:val="24"/>
        </w:rPr>
        <w:t>3.</w:t>
      </w:r>
      <w:r w:rsidRPr="001E5377">
        <w:rPr>
          <w:rFonts w:ascii="Times New Roman" w:hAnsi="Times New Roman" w:cs="Times New Roman"/>
          <w:noProof/>
          <w:sz w:val="24"/>
          <w:szCs w:val="24"/>
        </w:rPr>
        <w:tab/>
        <w:t xml:space="preserve">Bordin DS, Livzan MA, Mozgovoi SI, Gaus O V. Autoimmune Gastritis and Helicobacter pylori Infection: Molecular Mechanisms of Relationship. Int J Mol Sci. 2025;26(16):7737. </w:t>
      </w:r>
    </w:p>
    <w:p w:rsidR="001E5377" w:rsidRPr="001E5377" w:rsidRDefault="001E5377" w:rsidP="0068022A">
      <w:pPr>
        <w:widowControl w:val="0"/>
        <w:autoSpaceDE w:val="0"/>
        <w:autoSpaceDN w:val="0"/>
        <w:bidi w:val="0"/>
        <w:adjustRightInd w:val="0"/>
        <w:spacing w:after="120" w:line="240" w:lineRule="auto"/>
        <w:ind w:left="641" w:hanging="641"/>
        <w:jc w:val="lowKashida"/>
        <w:rPr>
          <w:rFonts w:ascii="Times New Roman" w:hAnsi="Times New Roman" w:cs="Times New Roman"/>
          <w:noProof/>
          <w:sz w:val="24"/>
          <w:szCs w:val="24"/>
        </w:rPr>
      </w:pPr>
      <w:r w:rsidRPr="001E5377">
        <w:rPr>
          <w:rFonts w:ascii="Times New Roman" w:hAnsi="Times New Roman" w:cs="Times New Roman"/>
          <w:noProof/>
          <w:sz w:val="24"/>
          <w:szCs w:val="24"/>
        </w:rPr>
        <w:t>4.</w:t>
      </w:r>
      <w:r w:rsidRPr="001E5377">
        <w:rPr>
          <w:rFonts w:ascii="Times New Roman" w:hAnsi="Times New Roman" w:cs="Times New Roman"/>
          <w:noProof/>
          <w:sz w:val="24"/>
          <w:szCs w:val="24"/>
        </w:rPr>
        <w:tab/>
        <w:t xml:space="preserve">Toh JWT, Wilson RB. Pathways of gastric carcinogenesis, Helicobacter pylori virulence and interactions with antioxidant systems, vitamin C and phytochemicals. Int J Mol Sci. 2020;21(17):6451. </w:t>
      </w:r>
    </w:p>
    <w:p w:rsidR="001E5377" w:rsidRPr="001E5377" w:rsidRDefault="001E5377" w:rsidP="0068022A">
      <w:pPr>
        <w:widowControl w:val="0"/>
        <w:autoSpaceDE w:val="0"/>
        <w:autoSpaceDN w:val="0"/>
        <w:bidi w:val="0"/>
        <w:adjustRightInd w:val="0"/>
        <w:spacing w:after="120" w:line="240" w:lineRule="auto"/>
        <w:ind w:left="641" w:hanging="641"/>
        <w:jc w:val="lowKashida"/>
        <w:rPr>
          <w:rFonts w:ascii="Times New Roman" w:hAnsi="Times New Roman" w:cs="Times New Roman"/>
          <w:noProof/>
          <w:sz w:val="24"/>
          <w:szCs w:val="24"/>
        </w:rPr>
      </w:pPr>
      <w:r w:rsidRPr="001E5377">
        <w:rPr>
          <w:rFonts w:ascii="Times New Roman" w:hAnsi="Times New Roman" w:cs="Times New Roman"/>
          <w:noProof/>
          <w:sz w:val="24"/>
          <w:szCs w:val="24"/>
        </w:rPr>
        <w:t>5.</w:t>
      </w:r>
      <w:r w:rsidRPr="001E5377">
        <w:rPr>
          <w:rFonts w:ascii="Times New Roman" w:hAnsi="Times New Roman" w:cs="Times New Roman"/>
          <w:noProof/>
          <w:sz w:val="24"/>
          <w:szCs w:val="24"/>
        </w:rPr>
        <w:tab/>
        <w:t xml:space="preserve">Xu H, Huang K, Shi M, Gong H, Han M, Tian W, et al. MicroRNAs in Helicobacter pylori-infected gastric cancer: Function and clinical application. Pharmacol Res. 2024;107216. </w:t>
      </w:r>
    </w:p>
    <w:p w:rsidR="001E5377" w:rsidRPr="001E5377" w:rsidRDefault="001E5377" w:rsidP="0068022A">
      <w:pPr>
        <w:widowControl w:val="0"/>
        <w:autoSpaceDE w:val="0"/>
        <w:autoSpaceDN w:val="0"/>
        <w:bidi w:val="0"/>
        <w:adjustRightInd w:val="0"/>
        <w:spacing w:after="120" w:line="240" w:lineRule="auto"/>
        <w:ind w:left="641" w:hanging="641"/>
        <w:jc w:val="lowKashida"/>
        <w:rPr>
          <w:rFonts w:ascii="Times New Roman" w:hAnsi="Times New Roman" w:cs="Times New Roman"/>
          <w:noProof/>
          <w:sz w:val="24"/>
          <w:szCs w:val="24"/>
        </w:rPr>
      </w:pPr>
      <w:r w:rsidRPr="001E5377">
        <w:rPr>
          <w:rFonts w:ascii="Times New Roman" w:hAnsi="Times New Roman" w:cs="Times New Roman"/>
          <w:noProof/>
          <w:sz w:val="24"/>
          <w:szCs w:val="24"/>
        </w:rPr>
        <w:t>6.</w:t>
      </w:r>
      <w:r w:rsidRPr="001E5377">
        <w:rPr>
          <w:rFonts w:ascii="Times New Roman" w:hAnsi="Times New Roman" w:cs="Times New Roman"/>
          <w:noProof/>
          <w:sz w:val="24"/>
          <w:szCs w:val="24"/>
        </w:rPr>
        <w:tab/>
        <w:t xml:space="preserve">İlhan A, Golestani S, Shafagh SG, Asadi F, Daneshdoust D, Al-Naqeeb BZT, et </w:t>
      </w:r>
      <w:r w:rsidRPr="001E5377">
        <w:rPr>
          <w:rFonts w:ascii="Times New Roman" w:hAnsi="Times New Roman" w:cs="Times New Roman"/>
          <w:noProof/>
          <w:sz w:val="24"/>
          <w:szCs w:val="24"/>
        </w:rPr>
        <w:lastRenderedPageBreak/>
        <w:t xml:space="preserve">al. The dual role of microRNA (miR)-20b in cancers: Friend or foe? Cell Commun Signal. 2023;21(1):1–13. </w:t>
      </w:r>
    </w:p>
    <w:p w:rsidR="001E5377" w:rsidRPr="001E5377" w:rsidRDefault="001E5377" w:rsidP="0068022A">
      <w:pPr>
        <w:widowControl w:val="0"/>
        <w:autoSpaceDE w:val="0"/>
        <w:autoSpaceDN w:val="0"/>
        <w:bidi w:val="0"/>
        <w:adjustRightInd w:val="0"/>
        <w:spacing w:after="120" w:line="240" w:lineRule="auto"/>
        <w:ind w:left="641" w:hanging="641"/>
        <w:jc w:val="lowKashida"/>
        <w:rPr>
          <w:rFonts w:ascii="Times New Roman" w:hAnsi="Times New Roman" w:cs="Times New Roman"/>
          <w:noProof/>
          <w:sz w:val="24"/>
          <w:szCs w:val="24"/>
        </w:rPr>
      </w:pPr>
      <w:r w:rsidRPr="001E5377">
        <w:rPr>
          <w:rFonts w:ascii="Times New Roman" w:hAnsi="Times New Roman" w:cs="Times New Roman"/>
          <w:noProof/>
          <w:sz w:val="24"/>
          <w:szCs w:val="24"/>
        </w:rPr>
        <w:t>7.</w:t>
      </w:r>
      <w:r w:rsidRPr="001E5377">
        <w:rPr>
          <w:rFonts w:ascii="Times New Roman" w:hAnsi="Times New Roman" w:cs="Times New Roman"/>
          <w:noProof/>
          <w:sz w:val="24"/>
          <w:szCs w:val="24"/>
        </w:rPr>
        <w:tab/>
        <w:t xml:space="preserve">Oana SM, Claudia B, Lelia RA, Simona M, Claudia C, Daniela DE. Differential expression of tissular miRNA-155 in pediatric gastritis. J Clin Med. 2022;11(12):3351. </w:t>
      </w:r>
    </w:p>
    <w:p w:rsidR="001E5377" w:rsidRPr="001E5377" w:rsidRDefault="001E5377" w:rsidP="0068022A">
      <w:pPr>
        <w:widowControl w:val="0"/>
        <w:autoSpaceDE w:val="0"/>
        <w:autoSpaceDN w:val="0"/>
        <w:bidi w:val="0"/>
        <w:adjustRightInd w:val="0"/>
        <w:spacing w:after="120" w:line="240" w:lineRule="auto"/>
        <w:ind w:left="641" w:hanging="641"/>
        <w:jc w:val="lowKashida"/>
        <w:rPr>
          <w:rFonts w:ascii="Times New Roman" w:hAnsi="Times New Roman" w:cs="Times New Roman"/>
          <w:noProof/>
          <w:sz w:val="24"/>
          <w:szCs w:val="24"/>
        </w:rPr>
      </w:pPr>
      <w:r w:rsidRPr="001E5377">
        <w:rPr>
          <w:rFonts w:ascii="Times New Roman" w:hAnsi="Times New Roman" w:cs="Times New Roman"/>
          <w:noProof/>
          <w:sz w:val="24"/>
          <w:szCs w:val="24"/>
        </w:rPr>
        <w:t>8.</w:t>
      </w:r>
      <w:r w:rsidRPr="001E5377">
        <w:rPr>
          <w:rFonts w:ascii="Times New Roman" w:hAnsi="Times New Roman" w:cs="Times New Roman"/>
          <w:noProof/>
          <w:sz w:val="24"/>
          <w:szCs w:val="24"/>
        </w:rPr>
        <w:tab/>
        <w:t xml:space="preserve">Chen P, Guo H, Wu X, Li J, Duan X, Ba Q, et al. Epigenetic silencing of microRNA-204 by Helicobacter pylori augments the NF-κB signaling pathway in gastric cancer development and progression. Carcinogenesis. 2020;41(4):430–41. </w:t>
      </w:r>
    </w:p>
    <w:p w:rsidR="001E5377" w:rsidRPr="001E5377" w:rsidRDefault="001E5377" w:rsidP="0068022A">
      <w:pPr>
        <w:widowControl w:val="0"/>
        <w:autoSpaceDE w:val="0"/>
        <w:autoSpaceDN w:val="0"/>
        <w:bidi w:val="0"/>
        <w:adjustRightInd w:val="0"/>
        <w:spacing w:after="120" w:line="240" w:lineRule="auto"/>
        <w:ind w:left="641" w:hanging="641"/>
        <w:jc w:val="lowKashida"/>
        <w:rPr>
          <w:rFonts w:ascii="Times New Roman" w:hAnsi="Times New Roman" w:cs="Times New Roman"/>
          <w:noProof/>
          <w:sz w:val="24"/>
          <w:szCs w:val="24"/>
        </w:rPr>
      </w:pPr>
      <w:r w:rsidRPr="001E5377">
        <w:rPr>
          <w:rFonts w:ascii="Times New Roman" w:hAnsi="Times New Roman" w:cs="Times New Roman"/>
          <w:noProof/>
          <w:sz w:val="24"/>
          <w:szCs w:val="24"/>
        </w:rPr>
        <w:t>9.</w:t>
      </w:r>
      <w:r w:rsidRPr="001E5377">
        <w:rPr>
          <w:rFonts w:ascii="Times New Roman" w:hAnsi="Times New Roman" w:cs="Times New Roman"/>
          <w:noProof/>
          <w:sz w:val="24"/>
          <w:szCs w:val="24"/>
        </w:rPr>
        <w:tab/>
        <w:t xml:space="preserve">Li X, Wang L, Li G, Zheng X, Duan C. Expression of miR-204 and MMP-9 in Helicobacter pylori-associated gastric ulcer. Int J Clin Exp Med. 2016;9(5):7928–36. </w:t>
      </w:r>
    </w:p>
    <w:p w:rsidR="001E5377" w:rsidRPr="001E5377" w:rsidRDefault="001E5377" w:rsidP="0068022A">
      <w:pPr>
        <w:widowControl w:val="0"/>
        <w:autoSpaceDE w:val="0"/>
        <w:autoSpaceDN w:val="0"/>
        <w:bidi w:val="0"/>
        <w:adjustRightInd w:val="0"/>
        <w:spacing w:after="120" w:line="240" w:lineRule="auto"/>
        <w:ind w:left="641" w:hanging="641"/>
        <w:jc w:val="lowKashida"/>
        <w:rPr>
          <w:rFonts w:ascii="Times New Roman" w:hAnsi="Times New Roman" w:cs="Times New Roman"/>
          <w:noProof/>
          <w:sz w:val="24"/>
          <w:szCs w:val="24"/>
        </w:rPr>
      </w:pPr>
      <w:r w:rsidRPr="001E5377">
        <w:rPr>
          <w:rFonts w:ascii="Times New Roman" w:hAnsi="Times New Roman" w:cs="Times New Roman"/>
          <w:noProof/>
          <w:sz w:val="24"/>
          <w:szCs w:val="24"/>
        </w:rPr>
        <w:t>10.</w:t>
      </w:r>
      <w:r w:rsidRPr="001E5377">
        <w:rPr>
          <w:rFonts w:ascii="Times New Roman" w:hAnsi="Times New Roman" w:cs="Times New Roman"/>
          <w:noProof/>
          <w:sz w:val="24"/>
          <w:szCs w:val="24"/>
        </w:rPr>
        <w:tab/>
        <w:t xml:space="preserve">Mahboobi R, Fallah F, Yadegar A, Dara N, Aghdam MK, Asgari B, et al. Expression analysis of miRNA-155 level in Helicobacter pylori related inflammation and chronic gastritis. Iran J Microbiol. 2022;14(4):495. </w:t>
      </w:r>
    </w:p>
    <w:p w:rsidR="001E5377" w:rsidRPr="001E5377" w:rsidRDefault="001E5377" w:rsidP="0068022A">
      <w:pPr>
        <w:widowControl w:val="0"/>
        <w:autoSpaceDE w:val="0"/>
        <w:autoSpaceDN w:val="0"/>
        <w:bidi w:val="0"/>
        <w:adjustRightInd w:val="0"/>
        <w:spacing w:after="120" w:line="240" w:lineRule="auto"/>
        <w:ind w:left="641" w:hanging="641"/>
        <w:jc w:val="lowKashida"/>
        <w:rPr>
          <w:rFonts w:ascii="Times New Roman" w:hAnsi="Times New Roman" w:cs="Times New Roman"/>
          <w:noProof/>
          <w:sz w:val="24"/>
          <w:szCs w:val="24"/>
        </w:rPr>
      </w:pPr>
      <w:r w:rsidRPr="001E5377">
        <w:rPr>
          <w:rFonts w:ascii="Times New Roman" w:hAnsi="Times New Roman" w:cs="Times New Roman"/>
          <w:noProof/>
          <w:sz w:val="24"/>
          <w:szCs w:val="24"/>
        </w:rPr>
        <w:t>11.</w:t>
      </w:r>
      <w:r w:rsidRPr="001E5377">
        <w:rPr>
          <w:rFonts w:ascii="Times New Roman" w:hAnsi="Times New Roman" w:cs="Times New Roman"/>
          <w:noProof/>
          <w:sz w:val="24"/>
          <w:szCs w:val="24"/>
        </w:rPr>
        <w:tab/>
        <w:t xml:space="preserve">Zhou S, Xu J. Downregulation of microRNA‑204 increases the expression of matrix metallopeptidase 9 in pediatric patients with pulpitis and Helicobacter pylori infection in the stomach. Exp Ther Med. 2019;18(1):253–9. </w:t>
      </w:r>
    </w:p>
    <w:p w:rsidR="001E5377" w:rsidRPr="001E5377" w:rsidRDefault="001E5377" w:rsidP="0068022A">
      <w:pPr>
        <w:widowControl w:val="0"/>
        <w:autoSpaceDE w:val="0"/>
        <w:autoSpaceDN w:val="0"/>
        <w:bidi w:val="0"/>
        <w:adjustRightInd w:val="0"/>
        <w:spacing w:after="120" w:line="240" w:lineRule="auto"/>
        <w:ind w:left="641" w:hanging="641"/>
        <w:jc w:val="lowKashida"/>
        <w:rPr>
          <w:rFonts w:ascii="Times New Roman" w:hAnsi="Times New Roman" w:cs="Times New Roman"/>
          <w:noProof/>
          <w:sz w:val="24"/>
          <w:szCs w:val="24"/>
        </w:rPr>
      </w:pPr>
      <w:r w:rsidRPr="001E5377">
        <w:rPr>
          <w:rFonts w:ascii="Times New Roman" w:hAnsi="Times New Roman" w:cs="Times New Roman"/>
          <w:noProof/>
          <w:sz w:val="24"/>
          <w:szCs w:val="24"/>
        </w:rPr>
        <w:t>12.</w:t>
      </w:r>
      <w:r w:rsidRPr="001E5377">
        <w:rPr>
          <w:rFonts w:ascii="Times New Roman" w:hAnsi="Times New Roman" w:cs="Times New Roman"/>
          <w:noProof/>
          <w:sz w:val="24"/>
          <w:szCs w:val="24"/>
        </w:rPr>
        <w:tab/>
        <w:t xml:space="preserve">Ard AS, Alammar MH. Association of Helicobacter pylori Infection and miR-155 and miR-146a Gene Polymorphism with Gastric Ulcer Patients. Egypt J Med Microbiol. 2026;35(2). </w:t>
      </w:r>
    </w:p>
    <w:p w:rsidR="001E5377" w:rsidRPr="001E5377" w:rsidRDefault="001E5377" w:rsidP="0068022A">
      <w:pPr>
        <w:widowControl w:val="0"/>
        <w:autoSpaceDE w:val="0"/>
        <w:autoSpaceDN w:val="0"/>
        <w:bidi w:val="0"/>
        <w:adjustRightInd w:val="0"/>
        <w:spacing w:after="120" w:line="240" w:lineRule="auto"/>
        <w:ind w:left="641" w:hanging="641"/>
        <w:jc w:val="lowKashida"/>
        <w:rPr>
          <w:rFonts w:ascii="Times New Roman" w:hAnsi="Times New Roman" w:cs="Times New Roman"/>
          <w:noProof/>
          <w:sz w:val="24"/>
          <w:szCs w:val="24"/>
        </w:rPr>
      </w:pPr>
      <w:r w:rsidRPr="001E5377">
        <w:rPr>
          <w:rFonts w:ascii="Times New Roman" w:hAnsi="Times New Roman" w:cs="Times New Roman"/>
          <w:noProof/>
          <w:sz w:val="24"/>
          <w:szCs w:val="24"/>
        </w:rPr>
        <w:t>13.</w:t>
      </w:r>
      <w:r w:rsidRPr="001E5377">
        <w:rPr>
          <w:rFonts w:ascii="Times New Roman" w:hAnsi="Times New Roman" w:cs="Times New Roman"/>
          <w:noProof/>
          <w:sz w:val="24"/>
          <w:szCs w:val="24"/>
        </w:rPr>
        <w:tab/>
        <w:t xml:space="preserve">Zhou X, Li L, Su J, Zhang G. Decreased miR-204 in H. pylori-associated gastric cancer promotes cancer cell proliferation and invasion by targeting SOX4. PLoS One. 2014;9(7):e101457. </w:t>
      </w:r>
    </w:p>
    <w:p w:rsidR="001E5377" w:rsidRPr="001E5377" w:rsidRDefault="001E5377" w:rsidP="0068022A">
      <w:pPr>
        <w:widowControl w:val="0"/>
        <w:autoSpaceDE w:val="0"/>
        <w:autoSpaceDN w:val="0"/>
        <w:bidi w:val="0"/>
        <w:adjustRightInd w:val="0"/>
        <w:spacing w:after="120" w:line="240" w:lineRule="auto"/>
        <w:ind w:left="641" w:hanging="641"/>
        <w:jc w:val="lowKashida"/>
        <w:rPr>
          <w:rFonts w:ascii="Times New Roman" w:hAnsi="Times New Roman" w:cs="Times New Roman"/>
          <w:noProof/>
          <w:sz w:val="24"/>
        </w:rPr>
      </w:pPr>
      <w:r w:rsidRPr="001E5377">
        <w:rPr>
          <w:rFonts w:ascii="Times New Roman" w:hAnsi="Times New Roman" w:cs="Times New Roman"/>
          <w:noProof/>
          <w:sz w:val="24"/>
          <w:szCs w:val="24"/>
        </w:rPr>
        <w:t>14.</w:t>
      </w:r>
      <w:r w:rsidRPr="001E5377">
        <w:rPr>
          <w:rFonts w:ascii="Times New Roman" w:hAnsi="Times New Roman" w:cs="Times New Roman"/>
          <w:noProof/>
          <w:sz w:val="24"/>
          <w:szCs w:val="24"/>
        </w:rPr>
        <w:tab/>
        <w:t xml:space="preserve">Cortés-Márquez AC, Mendoza-Elizalde S, Arenas-Huertero F, Trillo-Tinoco J, Valencia-Mayoral P, Consuelo-Sánchez A, et al. Differential expression of miRNA-146a and miRNA-155 in gastritis induced by Helicobacter pylori infection in paediatric patients, adults, and an animal model. BMC Infect Dis. 2018;18(1):1–9. </w:t>
      </w:r>
    </w:p>
    <w:p w:rsidR="00B1113F" w:rsidRDefault="00C641F3" w:rsidP="00540B58">
      <w:pPr>
        <w:bidi w:val="0"/>
        <w:spacing w:after="120" w:line="240" w:lineRule="auto"/>
        <w:jc w:val="lowKashida"/>
        <w:rPr>
          <w:rFonts w:asciiTheme="majorBidi" w:hAnsiTheme="majorBidi" w:cstheme="majorBidi"/>
          <w:sz w:val="24"/>
          <w:szCs w:val="24"/>
          <w:lang w:bidi="ar-EG"/>
        </w:rPr>
      </w:pPr>
      <w:r>
        <w:rPr>
          <w:rFonts w:asciiTheme="majorBidi" w:hAnsiTheme="majorBidi" w:cstheme="majorBidi"/>
          <w:sz w:val="24"/>
          <w:szCs w:val="24"/>
          <w:lang w:bidi="ar-EG"/>
        </w:rPr>
        <w:fldChar w:fldCharType="end"/>
      </w:r>
    </w:p>
    <w:p w:rsidR="009D5AD0" w:rsidRDefault="009D5AD0" w:rsidP="009D5AD0">
      <w:pPr>
        <w:bidi w:val="0"/>
        <w:spacing w:after="120" w:line="240" w:lineRule="auto"/>
        <w:rPr>
          <w:rFonts w:asciiTheme="majorBidi" w:hAnsiTheme="majorBidi" w:cstheme="majorBidi"/>
          <w:sz w:val="24"/>
          <w:szCs w:val="24"/>
          <w:lang w:bidi="ar-EG"/>
        </w:rPr>
      </w:pPr>
      <w:r>
        <w:rPr>
          <w:rFonts w:asciiTheme="majorBidi" w:hAnsiTheme="majorBidi" w:cstheme="majorBidi"/>
          <w:b/>
          <w:bCs/>
          <w:sz w:val="24"/>
          <w:szCs w:val="24"/>
          <w:lang w:bidi="ar-EG"/>
        </w:rPr>
        <w:t>Table 1:</w:t>
      </w:r>
      <w:r>
        <w:rPr>
          <w:rFonts w:asciiTheme="majorBidi" w:hAnsiTheme="majorBidi" w:cstheme="majorBidi"/>
          <w:sz w:val="24"/>
          <w:szCs w:val="24"/>
          <w:lang w:bidi="ar-EG"/>
        </w:rPr>
        <w:t xml:space="preserve"> </w:t>
      </w:r>
      <w:r>
        <w:rPr>
          <w:rFonts w:asciiTheme="majorBidi" w:hAnsiTheme="majorBidi" w:cstheme="majorBidi"/>
          <w:b/>
          <w:bCs/>
          <w:sz w:val="24"/>
          <w:szCs w:val="24"/>
          <w:lang w:bidi="ar-EG"/>
        </w:rPr>
        <w:t xml:space="preserve">Sociodemographic data of the studied groups </w:t>
      </w:r>
    </w:p>
    <w:tbl>
      <w:tblPr>
        <w:tblW w:w="5000" w:type="pct"/>
        <w:tblBorders>
          <w:top w:val="thickThinSmallGap" w:sz="24" w:space="0" w:color="000000"/>
          <w:left w:val="thickThinSmallGap" w:sz="24" w:space="0" w:color="000000"/>
          <w:bottom w:val="thinThickSmallGap" w:sz="24" w:space="0" w:color="000000"/>
          <w:right w:val="thinThickSmallGap" w:sz="24"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231"/>
        <w:gridCol w:w="1134"/>
        <w:gridCol w:w="708"/>
        <w:gridCol w:w="713"/>
        <w:gridCol w:w="708"/>
        <w:gridCol w:w="749"/>
        <w:gridCol w:w="646"/>
        <w:gridCol w:w="636"/>
        <w:gridCol w:w="892"/>
        <w:gridCol w:w="799"/>
      </w:tblGrid>
      <w:tr w:rsidR="009D5AD0" w:rsidTr="009D5AD0">
        <w:trPr>
          <w:cantSplit/>
        </w:trPr>
        <w:tc>
          <w:tcPr>
            <w:tcW w:w="1439" w:type="pct"/>
            <w:gridSpan w:val="2"/>
            <w:vMerge w:val="restart"/>
            <w:tcBorders>
              <w:top w:val="thickThinSmallGap" w:sz="24" w:space="0" w:color="000000"/>
              <w:left w:val="thickThinSmallGap" w:sz="24" w:space="0" w:color="000000"/>
              <w:bottom w:val="single" w:sz="6" w:space="0" w:color="000000"/>
              <w:right w:val="single" w:sz="6" w:space="0" w:color="000000"/>
            </w:tcBorders>
            <w:shd w:val="clear" w:color="auto" w:fill="auto"/>
            <w:vAlign w:val="bottom"/>
          </w:tcPr>
          <w:p w:rsidR="009D5AD0" w:rsidRDefault="009D5AD0" w:rsidP="009D5AD0">
            <w:pPr>
              <w:bidi w:val="0"/>
              <w:spacing w:after="0" w:line="240" w:lineRule="auto"/>
              <w:rPr>
                <w:rFonts w:asciiTheme="majorBidi" w:hAnsiTheme="majorBidi" w:cstheme="majorBidi"/>
                <w:b/>
                <w:bCs/>
                <w:sz w:val="24"/>
                <w:szCs w:val="24"/>
                <w:lang w:bidi="ar-EG"/>
              </w:rPr>
            </w:pPr>
          </w:p>
        </w:tc>
        <w:tc>
          <w:tcPr>
            <w:tcW w:w="865" w:type="pct"/>
            <w:gridSpan w:val="2"/>
            <w:tcBorders>
              <w:top w:val="thickThinSmallGap" w:sz="24" w:space="0" w:color="000000"/>
              <w:left w:val="single" w:sz="6" w:space="0" w:color="000000"/>
              <w:bottom w:val="single" w:sz="6" w:space="0" w:color="000000"/>
              <w:right w:val="single" w:sz="6" w:space="0" w:color="000000"/>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H. pylori positive group</w:t>
            </w:r>
          </w:p>
        </w:tc>
        <w:tc>
          <w:tcPr>
            <w:tcW w:w="887" w:type="pct"/>
            <w:gridSpan w:val="2"/>
            <w:tcBorders>
              <w:top w:val="thickThinSmallGap" w:sz="24" w:space="0" w:color="000000"/>
              <w:left w:val="single" w:sz="6" w:space="0" w:color="000000"/>
              <w:bottom w:val="single" w:sz="6" w:space="0" w:color="000000"/>
              <w:right w:val="single" w:sz="6" w:space="0" w:color="000000"/>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H. pylori negative group</w:t>
            </w:r>
          </w:p>
        </w:tc>
        <w:tc>
          <w:tcPr>
            <w:tcW w:w="780" w:type="pct"/>
            <w:gridSpan w:val="2"/>
            <w:tcBorders>
              <w:top w:val="thickThinSmallGap" w:sz="24" w:space="0" w:color="000000"/>
              <w:left w:val="single" w:sz="6" w:space="0" w:color="000000"/>
              <w:bottom w:val="single" w:sz="6" w:space="0" w:color="000000"/>
              <w:right w:val="single" w:sz="6" w:space="0" w:color="000000"/>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Control group</w:t>
            </w:r>
          </w:p>
        </w:tc>
        <w:tc>
          <w:tcPr>
            <w:tcW w:w="543" w:type="pct"/>
            <w:vMerge w:val="restart"/>
            <w:tcBorders>
              <w:top w:val="thickThinSmallGap" w:sz="24"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Test </w:t>
            </w:r>
          </w:p>
        </w:tc>
        <w:tc>
          <w:tcPr>
            <w:tcW w:w="486" w:type="pct"/>
            <w:vMerge w:val="restart"/>
            <w:tcBorders>
              <w:top w:val="thickThinSmallGap" w:sz="24" w:space="0" w:color="000000"/>
              <w:left w:val="single" w:sz="6" w:space="0" w:color="000000"/>
              <w:bottom w:val="single" w:sz="6" w:space="0" w:color="000000"/>
              <w:right w:val="thinThickSmallGap" w:sz="24" w:space="0" w:color="000000"/>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P value </w:t>
            </w:r>
          </w:p>
        </w:tc>
      </w:tr>
      <w:tr w:rsidR="009D5AD0" w:rsidTr="009D5AD0">
        <w:trPr>
          <w:cantSplit/>
        </w:trPr>
        <w:tc>
          <w:tcPr>
            <w:tcW w:w="0" w:type="auto"/>
            <w:gridSpan w:val="2"/>
            <w:vMerge/>
            <w:tcBorders>
              <w:top w:val="thickThinSmallGap" w:sz="24" w:space="0" w:color="000000"/>
              <w:left w:val="thickThinSmallGap" w:sz="24" w:space="0" w:color="000000"/>
              <w:bottom w:val="single" w:sz="6" w:space="0" w:color="000000"/>
              <w:right w:val="single" w:sz="6" w:space="0" w:color="000000"/>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431" w:type="pc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N=49</w:t>
            </w:r>
          </w:p>
        </w:tc>
        <w:tc>
          <w:tcPr>
            <w:tcW w:w="434" w:type="pc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w:t>
            </w:r>
          </w:p>
        </w:tc>
        <w:tc>
          <w:tcPr>
            <w:tcW w:w="431" w:type="pc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N=31</w:t>
            </w:r>
          </w:p>
        </w:tc>
        <w:tc>
          <w:tcPr>
            <w:tcW w:w="456" w:type="pc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w:t>
            </w:r>
          </w:p>
        </w:tc>
        <w:tc>
          <w:tcPr>
            <w:tcW w:w="393" w:type="pc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N=80</w:t>
            </w:r>
          </w:p>
        </w:tc>
        <w:tc>
          <w:tcPr>
            <w:tcW w:w="387" w:type="pc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w:t>
            </w:r>
          </w:p>
        </w:tc>
        <w:tc>
          <w:tcPr>
            <w:tcW w:w="0" w:type="auto"/>
            <w:vMerge/>
            <w:tcBorders>
              <w:top w:val="thickThinSmallGap" w:sz="24" w:space="0" w:color="000000"/>
              <w:left w:val="single" w:sz="6" w:space="0" w:color="000000"/>
              <w:bottom w:val="single" w:sz="6" w:space="0" w:color="000000"/>
              <w:right w:val="single" w:sz="6" w:space="0" w:color="000000"/>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0" w:type="auto"/>
            <w:vMerge/>
            <w:tcBorders>
              <w:top w:val="thickThinSmallGap" w:sz="24" w:space="0" w:color="000000"/>
              <w:left w:val="single" w:sz="6" w:space="0" w:color="000000"/>
              <w:bottom w:val="single" w:sz="6" w:space="0" w:color="000000"/>
              <w:right w:val="thinThickSmallGap" w:sz="24" w:space="0" w:color="000000"/>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r>
      <w:tr w:rsidR="009D5AD0" w:rsidTr="009D5AD0">
        <w:trPr>
          <w:cantSplit/>
          <w:trHeight w:val="240"/>
        </w:trPr>
        <w:tc>
          <w:tcPr>
            <w:tcW w:w="749" w:type="pct"/>
            <w:vMerge w:val="restart"/>
            <w:tcBorders>
              <w:top w:val="single" w:sz="6" w:space="0" w:color="000000"/>
              <w:left w:val="thickThinSmallGap" w:sz="24"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Age  (years)</w:t>
            </w:r>
          </w:p>
        </w:tc>
        <w:tc>
          <w:tcPr>
            <w:tcW w:w="690" w:type="pc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Mean±SD</w:t>
            </w:r>
          </w:p>
        </w:tc>
        <w:tc>
          <w:tcPr>
            <w:tcW w:w="865"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10.2±4.3</w:t>
            </w:r>
          </w:p>
        </w:tc>
        <w:tc>
          <w:tcPr>
            <w:tcW w:w="887"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9.6±4.2</w:t>
            </w:r>
          </w:p>
        </w:tc>
        <w:tc>
          <w:tcPr>
            <w:tcW w:w="78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10.6±4.1</w:t>
            </w:r>
          </w:p>
        </w:tc>
        <w:tc>
          <w:tcPr>
            <w:tcW w:w="543"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F=0.67</w:t>
            </w:r>
          </w:p>
        </w:tc>
        <w:tc>
          <w:tcPr>
            <w:tcW w:w="486" w:type="pct"/>
            <w:vMerge w:val="restart"/>
            <w:tcBorders>
              <w:top w:val="single" w:sz="6" w:space="0" w:color="000000"/>
              <w:left w:val="single" w:sz="6" w:space="0" w:color="000000"/>
              <w:bottom w:val="single" w:sz="6" w:space="0" w:color="000000"/>
              <w:right w:val="thinThickSmallGap" w:sz="24"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0.51</w:t>
            </w:r>
          </w:p>
        </w:tc>
      </w:tr>
      <w:tr w:rsidR="009D5AD0" w:rsidTr="009D5AD0">
        <w:trPr>
          <w:cantSplit/>
          <w:trHeight w:val="168"/>
        </w:trPr>
        <w:tc>
          <w:tcPr>
            <w:tcW w:w="0" w:type="auto"/>
            <w:vMerge/>
            <w:tcBorders>
              <w:top w:val="single" w:sz="6" w:space="0" w:color="000000"/>
              <w:left w:val="thickThinSmallGap" w:sz="24" w:space="0" w:color="000000"/>
              <w:bottom w:val="single" w:sz="6" w:space="0" w:color="000000"/>
              <w:right w:val="single" w:sz="6" w:space="0" w:color="000000"/>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690" w:type="pc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Range </w:t>
            </w:r>
          </w:p>
        </w:tc>
        <w:tc>
          <w:tcPr>
            <w:tcW w:w="865"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3-17</w:t>
            </w:r>
          </w:p>
        </w:tc>
        <w:tc>
          <w:tcPr>
            <w:tcW w:w="887"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3-17</w:t>
            </w:r>
          </w:p>
        </w:tc>
        <w:tc>
          <w:tcPr>
            <w:tcW w:w="78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3-17</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0" w:type="auto"/>
            <w:vMerge/>
            <w:tcBorders>
              <w:top w:val="single" w:sz="6" w:space="0" w:color="000000"/>
              <w:left w:val="single" w:sz="6" w:space="0" w:color="000000"/>
              <w:bottom w:val="single" w:sz="6" w:space="0" w:color="000000"/>
              <w:right w:val="thinThickSmallGap" w:sz="24" w:space="0" w:color="000000"/>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r w:rsidR="009D5AD0" w:rsidTr="009D5AD0">
        <w:trPr>
          <w:cantSplit/>
        </w:trPr>
        <w:tc>
          <w:tcPr>
            <w:tcW w:w="749" w:type="pct"/>
            <w:vMerge w:val="restart"/>
            <w:tcBorders>
              <w:top w:val="single" w:sz="6" w:space="0" w:color="000000"/>
              <w:left w:val="thickThinSmallGap" w:sz="24"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Sex</w:t>
            </w:r>
          </w:p>
        </w:tc>
        <w:tc>
          <w:tcPr>
            <w:tcW w:w="690"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Male</w:t>
            </w:r>
          </w:p>
        </w:tc>
        <w:tc>
          <w:tcPr>
            <w:tcW w:w="431"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20</w:t>
            </w:r>
          </w:p>
        </w:tc>
        <w:tc>
          <w:tcPr>
            <w:tcW w:w="434"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40.8%</w:t>
            </w:r>
          </w:p>
        </w:tc>
        <w:tc>
          <w:tcPr>
            <w:tcW w:w="431"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17</w:t>
            </w:r>
          </w:p>
        </w:tc>
        <w:tc>
          <w:tcPr>
            <w:tcW w:w="456"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54.8%</w:t>
            </w:r>
          </w:p>
        </w:tc>
        <w:tc>
          <w:tcPr>
            <w:tcW w:w="393"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38</w:t>
            </w:r>
          </w:p>
        </w:tc>
        <w:tc>
          <w:tcPr>
            <w:tcW w:w="387"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47.5%</w:t>
            </w:r>
          </w:p>
        </w:tc>
        <w:tc>
          <w:tcPr>
            <w:tcW w:w="543"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X</w:t>
            </w:r>
            <w:r>
              <w:rPr>
                <w:rFonts w:asciiTheme="majorBidi" w:hAnsiTheme="majorBidi" w:cstheme="majorBidi"/>
                <w:sz w:val="24"/>
                <w:szCs w:val="24"/>
                <w:vertAlign w:val="superscript"/>
                <w:lang w:bidi="ar-EG"/>
              </w:rPr>
              <w:t>2</w:t>
            </w:r>
            <w:r>
              <w:rPr>
                <w:rFonts w:asciiTheme="majorBidi" w:hAnsiTheme="majorBidi" w:cstheme="majorBidi"/>
                <w:sz w:val="24"/>
                <w:szCs w:val="24"/>
                <w:lang w:bidi="ar-EG"/>
              </w:rPr>
              <w:t>= 1.5</w:t>
            </w:r>
          </w:p>
        </w:tc>
        <w:tc>
          <w:tcPr>
            <w:tcW w:w="486" w:type="pct"/>
            <w:vMerge w:val="restart"/>
            <w:tcBorders>
              <w:top w:val="single" w:sz="6" w:space="0" w:color="000000"/>
              <w:left w:val="single" w:sz="6" w:space="0" w:color="000000"/>
              <w:bottom w:val="single" w:sz="6" w:space="0" w:color="000000"/>
              <w:right w:val="thinThickSmallGap" w:sz="24"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0.47</w:t>
            </w:r>
          </w:p>
        </w:tc>
      </w:tr>
      <w:tr w:rsidR="009D5AD0" w:rsidTr="009D5AD0">
        <w:trPr>
          <w:cantSplit/>
        </w:trPr>
        <w:tc>
          <w:tcPr>
            <w:tcW w:w="0" w:type="auto"/>
            <w:vMerge/>
            <w:tcBorders>
              <w:top w:val="single" w:sz="6" w:space="0" w:color="000000"/>
              <w:left w:val="thickThinSmallGap" w:sz="24" w:space="0" w:color="000000"/>
              <w:bottom w:val="single" w:sz="6" w:space="0" w:color="000000"/>
              <w:right w:val="single" w:sz="6" w:space="0" w:color="000000"/>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690"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Female</w:t>
            </w:r>
          </w:p>
        </w:tc>
        <w:tc>
          <w:tcPr>
            <w:tcW w:w="431"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29</w:t>
            </w:r>
          </w:p>
        </w:tc>
        <w:tc>
          <w:tcPr>
            <w:tcW w:w="434"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59.2%</w:t>
            </w:r>
          </w:p>
        </w:tc>
        <w:tc>
          <w:tcPr>
            <w:tcW w:w="431"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14</w:t>
            </w:r>
          </w:p>
        </w:tc>
        <w:tc>
          <w:tcPr>
            <w:tcW w:w="456"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45.2%</w:t>
            </w:r>
          </w:p>
        </w:tc>
        <w:tc>
          <w:tcPr>
            <w:tcW w:w="393"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42</w:t>
            </w:r>
          </w:p>
        </w:tc>
        <w:tc>
          <w:tcPr>
            <w:tcW w:w="387"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52.5%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0" w:type="auto"/>
            <w:vMerge/>
            <w:tcBorders>
              <w:top w:val="single" w:sz="6" w:space="0" w:color="000000"/>
              <w:left w:val="single" w:sz="6" w:space="0" w:color="000000"/>
              <w:bottom w:val="single" w:sz="6" w:space="0" w:color="000000"/>
              <w:right w:val="thinThickSmallGap" w:sz="24" w:space="0" w:color="000000"/>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r w:rsidR="009D5AD0" w:rsidTr="009D5AD0">
        <w:trPr>
          <w:cantSplit/>
        </w:trPr>
        <w:tc>
          <w:tcPr>
            <w:tcW w:w="749" w:type="pct"/>
            <w:vMerge w:val="restart"/>
            <w:tcBorders>
              <w:top w:val="single" w:sz="6" w:space="0" w:color="000000"/>
              <w:left w:val="thickThinSmallGap" w:sz="24" w:space="0" w:color="000000"/>
              <w:bottom w:val="thinThickSmallGap" w:sz="24"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Residence  </w:t>
            </w:r>
          </w:p>
        </w:tc>
        <w:tc>
          <w:tcPr>
            <w:tcW w:w="690"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Rural </w:t>
            </w:r>
          </w:p>
        </w:tc>
        <w:tc>
          <w:tcPr>
            <w:tcW w:w="431"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24</w:t>
            </w:r>
          </w:p>
        </w:tc>
        <w:tc>
          <w:tcPr>
            <w:tcW w:w="434"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49.0%</w:t>
            </w:r>
          </w:p>
        </w:tc>
        <w:tc>
          <w:tcPr>
            <w:tcW w:w="431"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13</w:t>
            </w:r>
          </w:p>
        </w:tc>
        <w:tc>
          <w:tcPr>
            <w:tcW w:w="456"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41.9%</w:t>
            </w:r>
          </w:p>
        </w:tc>
        <w:tc>
          <w:tcPr>
            <w:tcW w:w="393"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39</w:t>
            </w:r>
          </w:p>
        </w:tc>
        <w:tc>
          <w:tcPr>
            <w:tcW w:w="387" w:type="pct"/>
            <w:tcBorders>
              <w:top w:val="single" w:sz="6" w:space="0" w:color="000000"/>
              <w:left w:val="single" w:sz="6" w:space="0" w:color="000000"/>
              <w:bottom w:val="single" w:sz="6"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48.8%</w:t>
            </w:r>
          </w:p>
        </w:tc>
        <w:tc>
          <w:tcPr>
            <w:tcW w:w="543" w:type="pct"/>
            <w:vMerge w:val="restart"/>
            <w:tcBorders>
              <w:top w:val="single" w:sz="6" w:space="0" w:color="000000"/>
              <w:left w:val="single" w:sz="6" w:space="0" w:color="000000"/>
              <w:bottom w:val="thinThickSmallGap" w:sz="24"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X</w:t>
            </w:r>
            <w:r>
              <w:rPr>
                <w:rFonts w:asciiTheme="majorBidi" w:hAnsiTheme="majorBidi" w:cstheme="majorBidi"/>
                <w:sz w:val="24"/>
                <w:szCs w:val="24"/>
                <w:vertAlign w:val="superscript"/>
                <w:lang w:bidi="ar-EG"/>
              </w:rPr>
              <w:t>2</w:t>
            </w:r>
            <w:r>
              <w:rPr>
                <w:rFonts w:asciiTheme="majorBidi" w:hAnsiTheme="majorBidi" w:cstheme="majorBidi"/>
                <w:sz w:val="24"/>
                <w:szCs w:val="24"/>
                <w:lang w:bidi="ar-EG"/>
              </w:rPr>
              <w:t>=0.48</w:t>
            </w:r>
          </w:p>
        </w:tc>
        <w:tc>
          <w:tcPr>
            <w:tcW w:w="486" w:type="pct"/>
            <w:vMerge w:val="restart"/>
            <w:tcBorders>
              <w:top w:val="single" w:sz="6" w:space="0" w:color="000000"/>
              <w:left w:val="single" w:sz="6" w:space="0" w:color="000000"/>
              <w:bottom w:val="thinThickSmallGap" w:sz="24" w:space="0" w:color="000000"/>
              <w:right w:val="thinThickSmallGap" w:sz="24"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0.79</w:t>
            </w:r>
          </w:p>
        </w:tc>
      </w:tr>
      <w:tr w:rsidR="009D5AD0" w:rsidTr="009D5AD0">
        <w:trPr>
          <w:cantSplit/>
        </w:trPr>
        <w:tc>
          <w:tcPr>
            <w:tcW w:w="0" w:type="auto"/>
            <w:vMerge/>
            <w:tcBorders>
              <w:top w:val="single" w:sz="6" w:space="0" w:color="000000"/>
              <w:left w:val="thickThinSmallGap" w:sz="24" w:space="0" w:color="000000"/>
              <w:bottom w:val="thinThickSmallGap" w:sz="24" w:space="0" w:color="000000"/>
              <w:right w:val="single" w:sz="6" w:space="0" w:color="000000"/>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690" w:type="pct"/>
            <w:tcBorders>
              <w:top w:val="single" w:sz="6" w:space="0" w:color="000000"/>
              <w:left w:val="single" w:sz="6" w:space="0" w:color="000000"/>
              <w:bottom w:val="thinThickSmallGap" w:sz="24"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Urban </w:t>
            </w:r>
          </w:p>
        </w:tc>
        <w:tc>
          <w:tcPr>
            <w:tcW w:w="431" w:type="pct"/>
            <w:tcBorders>
              <w:top w:val="single" w:sz="6" w:space="0" w:color="000000"/>
              <w:left w:val="single" w:sz="6" w:space="0" w:color="000000"/>
              <w:bottom w:val="thinThickSmallGap" w:sz="24"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25</w:t>
            </w:r>
          </w:p>
        </w:tc>
        <w:tc>
          <w:tcPr>
            <w:tcW w:w="434" w:type="pct"/>
            <w:tcBorders>
              <w:top w:val="single" w:sz="6" w:space="0" w:color="000000"/>
              <w:left w:val="single" w:sz="6" w:space="0" w:color="000000"/>
              <w:bottom w:val="thinThickSmallGap" w:sz="24"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51.0%</w:t>
            </w:r>
          </w:p>
        </w:tc>
        <w:tc>
          <w:tcPr>
            <w:tcW w:w="431" w:type="pct"/>
            <w:tcBorders>
              <w:top w:val="single" w:sz="6" w:space="0" w:color="000000"/>
              <w:left w:val="single" w:sz="6" w:space="0" w:color="000000"/>
              <w:bottom w:val="thinThickSmallGap" w:sz="24"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18</w:t>
            </w:r>
          </w:p>
        </w:tc>
        <w:tc>
          <w:tcPr>
            <w:tcW w:w="456" w:type="pct"/>
            <w:tcBorders>
              <w:top w:val="single" w:sz="6" w:space="0" w:color="000000"/>
              <w:left w:val="single" w:sz="6" w:space="0" w:color="000000"/>
              <w:bottom w:val="thinThickSmallGap" w:sz="24"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58.1%</w:t>
            </w:r>
          </w:p>
        </w:tc>
        <w:tc>
          <w:tcPr>
            <w:tcW w:w="393" w:type="pct"/>
            <w:tcBorders>
              <w:top w:val="single" w:sz="6" w:space="0" w:color="000000"/>
              <w:left w:val="single" w:sz="6" w:space="0" w:color="000000"/>
              <w:bottom w:val="thinThickSmallGap" w:sz="24"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41</w:t>
            </w:r>
          </w:p>
        </w:tc>
        <w:tc>
          <w:tcPr>
            <w:tcW w:w="387" w:type="pct"/>
            <w:tcBorders>
              <w:top w:val="single" w:sz="6" w:space="0" w:color="000000"/>
              <w:left w:val="single" w:sz="6" w:space="0" w:color="000000"/>
              <w:bottom w:val="thinThickSmallGap" w:sz="24" w:space="0" w:color="000000"/>
              <w:right w:val="single" w:sz="6" w:space="0" w:color="000000"/>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51.3%</w:t>
            </w:r>
          </w:p>
        </w:tc>
        <w:tc>
          <w:tcPr>
            <w:tcW w:w="0" w:type="auto"/>
            <w:vMerge/>
            <w:tcBorders>
              <w:top w:val="single" w:sz="6" w:space="0" w:color="000000"/>
              <w:left w:val="single" w:sz="6" w:space="0" w:color="000000"/>
              <w:bottom w:val="thinThickSmallGap" w:sz="24" w:space="0" w:color="000000"/>
              <w:right w:val="single" w:sz="6" w:space="0" w:color="000000"/>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0" w:type="auto"/>
            <w:vMerge/>
            <w:tcBorders>
              <w:top w:val="single" w:sz="6" w:space="0" w:color="000000"/>
              <w:left w:val="single" w:sz="6" w:space="0" w:color="000000"/>
              <w:bottom w:val="thinThickSmallGap" w:sz="24" w:space="0" w:color="000000"/>
              <w:right w:val="thinThickSmallGap" w:sz="24" w:space="0" w:color="000000"/>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bl>
    <w:p w:rsidR="009D5AD0" w:rsidRDefault="009D5AD0" w:rsidP="009D5AD0">
      <w:pPr>
        <w:bidi w:val="0"/>
        <w:spacing w:after="120" w:line="240" w:lineRule="auto"/>
        <w:rPr>
          <w:rFonts w:asciiTheme="majorBidi" w:hAnsiTheme="majorBidi" w:cstheme="majorBidi"/>
          <w:sz w:val="24"/>
          <w:szCs w:val="24"/>
          <w:lang w:bidi="ar-EG"/>
        </w:rPr>
      </w:pPr>
      <w:r>
        <w:rPr>
          <w:rFonts w:asciiTheme="majorBidi" w:hAnsiTheme="majorBidi" w:cstheme="majorBidi"/>
          <w:sz w:val="24"/>
          <w:szCs w:val="24"/>
          <w:lang w:bidi="ar-EG"/>
        </w:rPr>
        <w:t>X</w:t>
      </w:r>
      <w:r>
        <w:rPr>
          <w:rFonts w:asciiTheme="majorBidi" w:hAnsiTheme="majorBidi" w:cstheme="majorBidi"/>
          <w:sz w:val="24"/>
          <w:szCs w:val="24"/>
          <w:vertAlign w:val="superscript"/>
          <w:lang w:bidi="ar-EG"/>
        </w:rPr>
        <w:t>2</w:t>
      </w:r>
      <w:r>
        <w:rPr>
          <w:rFonts w:asciiTheme="majorBidi" w:hAnsiTheme="majorBidi" w:cstheme="majorBidi"/>
          <w:sz w:val="24"/>
          <w:szCs w:val="24"/>
          <w:lang w:bidi="ar-EG"/>
        </w:rPr>
        <w:t>: Chi-square test, F: F-value of one way ANOVA, *: significant</w:t>
      </w:r>
    </w:p>
    <w:p w:rsidR="00540B58" w:rsidRDefault="00540B58">
      <w:pPr>
        <w:bidi w:val="0"/>
        <w:rPr>
          <w:rFonts w:asciiTheme="majorBidi" w:hAnsiTheme="majorBidi" w:cstheme="majorBidi"/>
          <w:b/>
          <w:bCs/>
          <w:sz w:val="24"/>
          <w:szCs w:val="24"/>
          <w:lang w:bidi="ar-EG"/>
        </w:rPr>
      </w:pPr>
      <w:bookmarkStart w:id="0" w:name="_GoBack"/>
      <w:bookmarkEnd w:id="0"/>
    </w:p>
    <w:p w:rsidR="009D5AD0" w:rsidRDefault="009D5AD0" w:rsidP="009D5AD0">
      <w:pPr>
        <w:bidi w:val="0"/>
        <w:spacing w:after="120" w:line="240" w:lineRule="auto"/>
        <w:rPr>
          <w:rFonts w:asciiTheme="majorBidi" w:hAnsiTheme="majorBidi" w:cstheme="majorBidi"/>
          <w:sz w:val="24"/>
          <w:szCs w:val="24"/>
          <w:lang w:bidi="ar-EG"/>
        </w:rPr>
      </w:pPr>
      <w:r>
        <w:rPr>
          <w:rFonts w:asciiTheme="majorBidi" w:hAnsiTheme="majorBidi" w:cstheme="majorBidi"/>
          <w:b/>
          <w:bCs/>
          <w:sz w:val="24"/>
          <w:szCs w:val="24"/>
          <w:lang w:bidi="ar-EG"/>
        </w:rPr>
        <w:lastRenderedPageBreak/>
        <w:t>Table 2:</w:t>
      </w:r>
      <w:r>
        <w:rPr>
          <w:rFonts w:asciiTheme="majorBidi" w:hAnsiTheme="majorBidi" w:cstheme="majorBidi"/>
          <w:sz w:val="24"/>
          <w:szCs w:val="24"/>
          <w:lang w:bidi="ar-EG"/>
        </w:rPr>
        <w:t xml:space="preserve"> </w:t>
      </w:r>
      <w:r>
        <w:rPr>
          <w:rFonts w:asciiTheme="majorBidi" w:hAnsiTheme="majorBidi" w:cstheme="majorBidi"/>
          <w:b/>
          <w:bCs/>
          <w:sz w:val="24"/>
          <w:szCs w:val="24"/>
          <w:lang w:bidi="ar-EG"/>
        </w:rPr>
        <w:t>mRNA 204 as regarding to endoscopic and histological findings in the studied patients</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85"/>
        <w:gridCol w:w="2358"/>
        <w:gridCol w:w="1247"/>
        <w:gridCol w:w="1548"/>
        <w:gridCol w:w="822"/>
        <w:gridCol w:w="856"/>
      </w:tblGrid>
      <w:tr w:rsidR="009D5AD0" w:rsidTr="00540B58">
        <w:trPr>
          <w:cantSplit/>
        </w:trPr>
        <w:tc>
          <w:tcPr>
            <w:tcW w:w="2278" w:type="pct"/>
            <w:gridSpan w:val="2"/>
            <w:vMerge w:val="restart"/>
            <w:tcBorders>
              <w:top w:val="thinThickSmallGap" w:sz="24" w:space="0" w:color="auto"/>
              <w:left w:val="thinThickSmallGap" w:sz="24" w:space="0" w:color="auto"/>
              <w:bottom w:val="single" w:sz="6" w:space="0" w:color="auto"/>
              <w:right w:val="single" w:sz="6" w:space="0" w:color="auto"/>
            </w:tcBorders>
            <w:shd w:val="clear" w:color="auto" w:fill="auto"/>
            <w:vAlign w:val="bottom"/>
          </w:tcPr>
          <w:p w:rsidR="009D5AD0" w:rsidRDefault="009D5AD0" w:rsidP="009D5AD0">
            <w:pPr>
              <w:bidi w:val="0"/>
              <w:spacing w:after="0" w:line="240" w:lineRule="auto"/>
              <w:rPr>
                <w:rFonts w:asciiTheme="majorBidi" w:hAnsiTheme="majorBidi" w:cstheme="majorBidi"/>
                <w:sz w:val="24"/>
                <w:szCs w:val="24"/>
                <w:lang w:bidi="ar-EG"/>
              </w:rPr>
            </w:pPr>
          </w:p>
          <w:p w:rsidR="009D5AD0" w:rsidRDefault="009D5AD0" w:rsidP="009D5AD0">
            <w:pPr>
              <w:bidi w:val="0"/>
              <w:spacing w:after="0" w:line="240" w:lineRule="auto"/>
              <w:rPr>
                <w:rFonts w:asciiTheme="majorBidi" w:hAnsiTheme="majorBidi" w:cstheme="majorBidi"/>
                <w:sz w:val="24"/>
                <w:szCs w:val="24"/>
                <w:lang w:bidi="ar-EG"/>
              </w:rPr>
            </w:pPr>
          </w:p>
        </w:tc>
        <w:tc>
          <w:tcPr>
            <w:tcW w:w="1701" w:type="pct"/>
            <w:gridSpan w:val="2"/>
            <w:tcBorders>
              <w:top w:val="thinThickSmallGap" w:sz="24" w:space="0" w:color="auto"/>
              <w:left w:val="single" w:sz="6" w:space="0" w:color="auto"/>
              <w:bottom w:val="single" w:sz="6" w:space="0" w:color="auto"/>
              <w:right w:val="single" w:sz="6" w:space="0" w:color="auto"/>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mRNA 204</w:t>
            </w:r>
          </w:p>
        </w:tc>
        <w:tc>
          <w:tcPr>
            <w:tcW w:w="500" w:type="pct"/>
            <w:vMerge w:val="restart"/>
            <w:tcBorders>
              <w:top w:val="thinThickSmallGap" w:sz="24"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Test</w:t>
            </w:r>
          </w:p>
        </w:tc>
        <w:tc>
          <w:tcPr>
            <w:tcW w:w="521" w:type="pct"/>
            <w:vMerge w:val="restart"/>
            <w:tcBorders>
              <w:top w:val="thinThickSmallGap" w:sz="24"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P value</w:t>
            </w:r>
          </w:p>
        </w:tc>
      </w:tr>
      <w:tr w:rsidR="009D5AD0" w:rsidTr="00540B58">
        <w:trPr>
          <w:cantSplit/>
        </w:trPr>
        <w:tc>
          <w:tcPr>
            <w:tcW w:w="2278" w:type="pct"/>
            <w:gridSpan w:val="2"/>
            <w:vMerge/>
            <w:tcBorders>
              <w:top w:val="thinThickSmallGap" w:sz="24"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Mean ±SD</w:t>
            </w:r>
          </w:p>
        </w:tc>
        <w:tc>
          <w:tcPr>
            <w:tcW w:w="942"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Range</w:t>
            </w:r>
          </w:p>
        </w:tc>
        <w:tc>
          <w:tcPr>
            <w:tcW w:w="500" w:type="pct"/>
            <w:vMerge/>
            <w:tcBorders>
              <w:top w:val="thinThickSmallGap" w:sz="24"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521" w:type="pct"/>
            <w:vMerge/>
            <w:tcBorders>
              <w:top w:val="thinThickSmallGap" w:sz="24"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r>
      <w:tr w:rsidR="009D5AD0" w:rsidTr="00540B58">
        <w:trPr>
          <w:cantSplit/>
        </w:trPr>
        <w:tc>
          <w:tcPr>
            <w:tcW w:w="843" w:type="pct"/>
            <w:vMerge w:val="restar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H pylori in stool</w:t>
            </w: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Negative</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10.4</w:t>
            </w:r>
            <w:r>
              <w:rPr>
                <w:rFonts w:asciiTheme="majorBidi" w:hAnsiTheme="majorBidi" w:cstheme="majorBidi"/>
                <w:b/>
                <w:bCs/>
                <w:sz w:val="24"/>
                <w:szCs w:val="24"/>
                <w:lang w:bidi="ar-EG"/>
              </w:rPr>
              <w:t>±</w:t>
            </w:r>
            <w:r>
              <w:rPr>
                <w:rFonts w:asciiTheme="majorBidi" w:hAnsiTheme="majorBidi" w:cstheme="majorBidi"/>
                <w:sz w:val="24"/>
                <w:szCs w:val="24"/>
                <w:lang w:bidi="ar-EG"/>
              </w:rPr>
              <w:t>2.7</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5.3-13.6</w:t>
            </w:r>
          </w:p>
        </w:tc>
        <w:tc>
          <w:tcPr>
            <w:tcW w:w="500"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t=6.5</w:t>
            </w:r>
          </w:p>
        </w:tc>
        <w:tc>
          <w:tcPr>
            <w:tcW w:w="521" w:type="pct"/>
            <w:vMerge w:val="restar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&lt;0.001*</w:t>
            </w:r>
          </w:p>
        </w:tc>
      </w:tr>
      <w:tr w:rsidR="009D5AD0" w:rsidTr="00540B58">
        <w:trPr>
          <w:cantSplit/>
        </w:trPr>
        <w:tc>
          <w:tcPr>
            <w:tcW w:w="843" w:type="pct"/>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Positive</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3.7±3.2</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1.0-12.9</w:t>
            </w:r>
          </w:p>
        </w:tc>
        <w:tc>
          <w:tcPr>
            <w:tcW w:w="50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521" w:type="pct"/>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r w:rsidR="009D5AD0" w:rsidTr="00540B58">
        <w:trPr>
          <w:cantSplit/>
        </w:trPr>
        <w:tc>
          <w:tcPr>
            <w:tcW w:w="843" w:type="pct"/>
            <w:vMerge w:val="restar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Endoscopic finding in esophagus</w:t>
            </w: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Normal</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9.6</w:t>
            </w:r>
            <w:r>
              <w:rPr>
                <w:rFonts w:asciiTheme="majorBidi" w:hAnsiTheme="majorBidi" w:cstheme="majorBidi"/>
                <w:b/>
                <w:bCs/>
                <w:sz w:val="24"/>
                <w:szCs w:val="24"/>
                <w:lang w:bidi="ar-EG"/>
              </w:rPr>
              <w:t>±</w:t>
            </w:r>
            <w:r>
              <w:rPr>
                <w:rFonts w:asciiTheme="majorBidi" w:hAnsiTheme="majorBidi" w:cstheme="majorBidi"/>
                <w:sz w:val="24"/>
                <w:szCs w:val="24"/>
                <w:lang w:bidi="ar-EG"/>
              </w:rPr>
              <w:t>4.5</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1.0-13.6</w:t>
            </w:r>
          </w:p>
        </w:tc>
        <w:tc>
          <w:tcPr>
            <w:tcW w:w="500"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F=0.95</w:t>
            </w:r>
          </w:p>
        </w:tc>
        <w:tc>
          <w:tcPr>
            <w:tcW w:w="521" w:type="pct"/>
            <w:vMerge w:val="restar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0.62</w:t>
            </w:r>
          </w:p>
        </w:tc>
      </w:tr>
      <w:tr w:rsidR="009D5AD0" w:rsidTr="00540B58">
        <w:trPr>
          <w:cantSplit/>
        </w:trPr>
        <w:tc>
          <w:tcPr>
            <w:tcW w:w="843" w:type="pct"/>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Erosions</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5.9±3.6</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2.4-12.0</w:t>
            </w:r>
          </w:p>
        </w:tc>
        <w:tc>
          <w:tcPr>
            <w:tcW w:w="50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521" w:type="pct"/>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r w:rsidR="009D5AD0" w:rsidTr="00540B58">
        <w:trPr>
          <w:cantSplit/>
        </w:trPr>
        <w:tc>
          <w:tcPr>
            <w:tcW w:w="843" w:type="pct"/>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Esophagitis</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7.3±6.7</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3.6-13.1</w:t>
            </w:r>
          </w:p>
        </w:tc>
        <w:tc>
          <w:tcPr>
            <w:tcW w:w="50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521" w:type="pct"/>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r w:rsidR="009D5AD0" w:rsidTr="00540B58">
        <w:trPr>
          <w:cantSplit/>
        </w:trPr>
        <w:tc>
          <w:tcPr>
            <w:tcW w:w="843" w:type="pct"/>
            <w:vMerge w:val="restar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Endoscopic finding in stomach</w:t>
            </w: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Diffuse mild gastritis</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6.2±2.5</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5.3-11.8</w:t>
            </w:r>
          </w:p>
        </w:tc>
        <w:tc>
          <w:tcPr>
            <w:tcW w:w="500"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F=8.1</w:t>
            </w:r>
          </w:p>
        </w:tc>
        <w:tc>
          <w:tcPr>
            <w:tcW w:w="521" w:type="pct"/>
            <w:vMerge w:val="restar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0.045*</w:t>
            </w:r>
          </w:p>
        </w:tc>
      </w:tr>
      <w:tr w:rsidR="009D5AD0" w:rsidTr="00540B58">
        <w:trPr>
          <w:cantSplit/>
        </w:trPr>
        <w:tc>
          <w:tcPr>
            <w:tcW w:w="843" w:type="pct"/>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Moderate gastritis</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5.5±2.7</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1.0 -11.9</w:t>
            </w:r>
          </w:p>
        </w:tc>
        <w:tc>
          <w:tcPr>
            <w:tcW w:w="50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521" w:type="pct"/>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r w:rsidR="009D5AD0" w:rsidTr="00540B58">
        <w:trPr>
          <w:cantSplit/>
        </w:trPr>
        <w:tc>
          <w:tcPr>
            <w:tcW w:w="843" w:type="pct"/>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Severe gastritis &amp; nodularity</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4.2±2.2</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1.3-0.0</w:t>
            </w:r>
          </w:p>
        </w:tc>
        <w:tc>
          <w:tcPr>
            <w:tcW w:w="50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521" w:type="pct"/>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r w:rsidR="009D5AD0" w:rsidTr="00540B58">
        <w:trPr>
          <w:cantSplit/>
        </w:trPr>
        <w:tc>
          <w:tcPr>
            <w:tcW w:w="843" w:type="pct"/>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Gastric ulcer </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2.4±0.9</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1.7-3.4</w:t>
            </w:r>
          </w:p>
        </w:tc>
        <w:tc>
          <w:tcPr>
            <w:tcW w:w="50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521" w:type="pct"/>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r w:rsidR="009D5AD0" w:rsidTr="00540B58">
        <w:trPr>
          <w:cantSplit/>
        </w:trPr>
        <w:tc>
          <w:tcPr>
            <w:tcW w:w="843" w:type="pct"/>
            <w:vMerge w:val="restar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Endoscopic finding in duodenum</w:t>
            </w: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Normal</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5.2±2.6</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1.0-11.9</w:t>
            </w:r>
          </w:p>
        </w:tc>
        <w:tc>
          <w:tcPr>
            <w:tcW w:w="500"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t=0.35</w:t>
            </w:r>
          </w:p>
        </w:tc>
        <w:tc>
          <w:tcPr>
            <w:tcW w:w="521" w:type="pct"/>
            <w:vMerge w:val="restar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0.73</w:t>
            </w:r>
          </w:p>
        </w:tc>
      </w:tr>
      <w:tr w:rsidR="009D5AD0" w:rsidTr="00540B58">
        <w:trPr>
          <w:cantSplit/>
        </w:trPr>
        <w:tc>
          <w:tcPr>
            <w:tcW w:w="843" w:type="pct"/>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proofErr w:type="spellStart"/>
            <w:r>
              <w:rPr>
                <w:rFonts w:asciiTheme="majorBidi" w:hAnsiTheme="majorBidi" w:cstheme="majorBidi"/>
                <w:b/>
                <w:bCs/>
                <w:sz w:val="24"/>
                <w:szCs w:val="24"/>
                <w:lang w:bidi="ar-EG"/>
              </w:rPr>
              <w:t>Duodenitis</w:t>
            </w:r>
            <w:proofErr w:type="spellEnd"/>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5.8±3.2</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1.3-11.6</w:t>
            </w:r>
          </w:p>
        </w:tc>
        <w:tc>
          <w:tcPr>
            <w:tcW w:w="50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521" w:type="pct"/>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r w:rsidR="009D5AD0" w:rsidTr="00540B58">
        <w:trPr>
          <w:cantSplit/>
        </w:trPr>
        <w:tc>
          <w:tcPr>
            <w:tcW w:w="843" w:type="pct"/>
            <w:vMerge w:val="restar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Biopsy report of the stomach</w:t>
            </w: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Mild chronic active gastritis</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6.3±2.5</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1.0-11.9</w:t>
            </w:r>
          </w:p>
        </w:tc>
        <w:tc>
          <w:tcPr>
            <w:tcW w:w="500"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F=6.4</w:t>
            </w:r>
          </w:p>
        </w:tc>
        <w:tc>
          <w:tcPr>
            <w:tcW w:w="521" w:type="pct"/>
            <w:vMerge w:val="restar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0.011*</w:t>
            </w:r>
          </w:p>
        </w:tc>
      </w:tr>
      <w:tr w:rsidR="009D5AD0" w:rsidTr="00540B58">
        <w:trPr>
          <w:cantSplit/>
        </w:trPr>
        <w:tc>
          <w:tcPr>
            <w:tcW w:w="843" w:type="pct"/>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Moderate chronic active gastritis</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5.2±2.4</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1.0-11.8</w:t>
            </w:r>
          </w:p>
        </w:tc>
        <w:tc>
          <w:tcPr>
            <w:tcW w:w="50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521" w:type="pct"/>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r w:rsidR="009D5AD0" w:rsidTr="00540B58">
        <w:trPr>
          <w:cantSplit/>
        </w:trPr>
        <w:tc>
          <w:tcPr>
            <w:tcW w:w="843" w:type="pct"/>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Severe active gastritis</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3.1±2.3</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1.3-10.0</w:t>
            </w:r>
          </w:p>
        </w:tc>
        <w:tc>
          <w:tcPr>
            <w:tcW w:w="50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521" w:type="pct"/>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r w:rsidR="009D5AD0" w:rsidTr="00540B58">
        <w:trPr>
          <w:cantSplit/>
        </w:trPr>
        <w:tc>
          <w:tcPr>
            <w:tcW w:w="843" w:type="pct"/>
            <w:vMerge w:val="restart"/>
            <w:tcBorders>
              <w:top w:val="single" w:sz="6" w:space="0" w:color="auto"/>
              <w:left w:val="thinThickSmallGap" w:sz="24"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H. pylori</w:t>
            </w: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No </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7.7±3.2</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1.4-11.9</w:t>
            </w:r>
          </w:p>
        </w:tc>
        <w:tc>
          <w:tcPr>
            <w:tcW w:w="500" w:type="pct"/>
            <w:vMerge w:val="restart"/>
            <w:tcBorders>
              <w:top w:val="single" w:sz="6" w:space="0" w:color="auto"/>
              <w:left w:val="single" w:sz="6"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F=7.9</w:t>
            </w:r>
          </w:p>
        </w:tc>
        <w:tc>
          <w:tcPr>
            <w:tcW w:w="521" w:type="pct"/>
            <w:vMerge w:val="restart"/>
            <w:tcBorders>
              <w:top w:val="single" w:sz="6" w:space="0" w:color="auto"/>
              <w:left w:val="single" w:sz="6" w:space="0" w:color="auto"/>
              <w:bottom w:val="thickThinSmallGap" w:sz="24"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0.021*</w:t>
            </w:r>
          </w:p>
        </w:tc>
      </w:tr>
      <w:tr w:rsidR="009D5AD0" w:rsidTr="00540B58">
        <w:trPr>
          <w:cantSplit/>
        </w:trPr>
        <w:tc>
          <w:tcPr>
            <w:tcW w:w="843" w:type="pct"/>
            <w:vMerge/>
            <w:tcBorders>
              <w:top w:val="single" w:sz="6" w:space="0" w:color="auto"/>
              <w:left w:val="thinThickSmallGap" w:sz="24" w:space="0" w:color="auto"/>
              <w:bottom w:val="thickThinSmallGap" w:sz="24"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4.2±2.5</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1.3-11.7</w:t>
            </w:r>
          </w:p>
        </w:tc>
        <w:tc>
          <w:tcPr>
            <w:tcW w:w="500" w:type="pct"/>
            <w:vMerge/>
            <w:tcBorders>
              <w:top w:val="single" w:sz="6" w:space="0" w:color="auto"/>
              <w:left w:val="single" w:sz="6" w:space="0" w:color="auto"/>
              <w:bottom w:val="thickThinSmallGap" w:sz="24"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521" w:type="pct"/>
            <w:vMerge/>
            <w:tcBorders>
              <w:top w:val="single" w:sz="6" w:space="0" w:color="auto"/>
              <w:left w:val="single" w:sz="6" w:space="0" w:color="auto"/>
              <w:bottom w:val="thickThinSmallGap" w:sz="24" w:space="0" w:color="auto"/>
              <w:right w:val="thickThinSmallGap" w:sz="24"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r w:rsidR="009D5AD0" w:rsidTr="00540B58">
        <w:trPr>
          <w:cantSplit/>
        </w:trPr>
        <w:tc>
          <w:tcPr>
            <w:tcW w:w="843" w:type="pct"/>
            <w:vMerge/>
            <w:tcBorders>
              <w:top w:val="single" w:sz="6" w:space="0" w:color="auto"/>
              <w:left w:val="thinThickSmallGap" w:sz="24" w:space="0" w:color="auto"/>
              <w:bottom w:val="thickThinSmallGap" w:sz="24"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143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w:t>
            </w:r>
          </w:p>
        </w:tc>
        <w:tc>
          <w:tcPr>
            <w:tcW w:w="759"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3.8±2.6</w:t>
            </w:r>
          </w:p>
        </w:tc>
        <w:tc>
          <w:tcPr>
            <w:tcW w:w="94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1.0-11.7</w:t>
            </w:r>
          </w:p>
        </w:tc>
        <w:tc>
          <w:tcPr>
            <w:tcW w:w="500" w:type="pct"/>
            <w:vMerge/>
            <w:tcBorders>
              <w:top w:val="single" w:sz="6" w:space="0" w:color="auto"/>
              <w:left w:val="single" w:sz="6" w:space="0" w:color="auto"/>
              <w:bottom w:val="thickThinSmallGap" w:sz="24"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521" w:type="pct"/>
            <w:vMerge/>
            <w:tcBorders>
              <w:top w:val="single" w:sz="6" w:space="0" w:color="auto"/>
              <w:left w:val="single" w:sz="6" w:space="0" w:color="auto"/>
              <w:bottom w:val="thickThinSmallGap" w:sz="24" w:space="0" w:color="auto"/>
              <w:right w:val="thickThinSmallGap" w:sz="24"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r w:rsidR="009D5AD0" w:rsidTr="00540B58">
        <w:trPr>
          <w:cantSplit/>
        </w:trPr>
        <w:tc>
          <w:tcPr>
            <w:tcW w:w="843" w:type="pct"/>
            <w:vMerge/>
            <w:tcBorders>
              <w:top w:val="single" w:sz="6" w:space="0" w:color="auto"/>
              <w:left w:val="thinThickSmallGap" w:sz="24" w:space="0" w:color="auto"/>
              <w:bottom w:val="thickThinSmallGap" w:sz="24"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1435" w:type="pct"/>
            <w:tcBorders>
              <w:top w:val="single" w:sz="6" w:space="0" w:color="auto"/>
              <w:left w:val="single" w:sz="6"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w:t>
            </w:r>
          </w:p>
        </w:tc>
        <w:tc>
          <w:tcPr>
            <w:tcW w:w="759" w:type="pct"/>
            <w:tcBorders>
              <w:top w:val="single" w:sz="6" w:space="0" w:color="auto"/>
              <w:left w:val="single" w:sz="6"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3.2</w:t>
            </w:r>
            <w:r>
              <w:rPr>
                <w:rFonts w:asciiTheme="majorBidi" w:hAnsiTheme="majorBidi" w:cstheme="majorBidi"/>
                <w:b/>
                <w:bCs/>
                <w:sz w:val="24"/>
                <w:szCs w:val="24"/>
                <w:lang w:bidi="ar-EG"/>
              </w:rPr>
              <w:t>±</w:t>
            </w:r>
            <w:r>
              <w:rPr>
                <w:rFonts w:asciiTheme="majorBidi" w:hAnsiTheme="majorBidi" w:cstheme="majorBidi"/>
                <w:sz w:val="24"/>
                <w:szCs w:val="24"/>
                <w:lang w:bidi="ar-EG"/>
              </w:rPr>
              <w:t>1.5</w:t>
            </w:r>
          </w:p>
        </w:tc>
        <w:tc>
          <w:tcPr>
            <w:tcW w:w="942" w:type="pct"/>
            <w:tcBorders>
              <w:top w:val="single" w:sz="6" w:space="0" w:color="auto"/>
              <w:left w:val="single" w:sz="6"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1.0-5.2</w:t>
            </w:r>
          </w:p>
        </w:tc>
        <w:tc>
          <w:tcPr>
            <w:tcW w:w="500" w:type="pct"/>
            <w:vMerge/>
            <w:tcBorders>
              <w:top w:val="single" w:sz="6" w:space="0" w:color="auto"/>
              <w:left w:val="single" w:sz="6" w:space="0" w:color="auto"/>
              <w:bottom w:val="thickThinSmallGap" w:sz="24" w:space="0" w:color="auto"/>
              <w:right w:val="single" w:sz="6"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c>
          <w:tcPr>
            <w:tcW w:w="521" w:type="pct"/>
            <w:vMerge/>
            <w:tcBorders>
              <w:top w:val="single" w:sz="6" w:space="0" w:color="auto"/>
              <w:left w:val="single" w:sz="6" w:space="0" w:color="auto"/>
              <w:bottom w:val="thickThinSmallGap" w:sz="24" w:space="0" w:color="auto"/>
              <w:right w:val="thickThinSmallGap" w:sz="24" w:space="0" w:color="auto"/>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p>
        </w:tc>
      </w:tr>
    </w:tbl>
    <w:p w:rsidR="009D5AD0" w:rsidRDefault="009D5AD0" w:rsidP="009D5AD0">
      <w:pPr>
        <w:bidi w:val="0"/>
        <w:spacing w:after="120" w:line="240" w:lineRule="auto"/>
        <w:rPr>
          <w:rFonts w:asciiTheme="majorBidi" w:hAnsiTheme="majorBidi" w:cstheme="majorBidi"/>
          <w:sz w:val="24"/>
          <w:szCs w:val="24"/>
          <w:lang w:bidi="ar-EG"/>
        </w:rPr>
      </w:pPr>
      <w:r>
        <w:rPr>
          <w:rFonts w:asciiTheme="majorBidi" w:hAnsiTheme="majorBidi" w:cstheme="majorBidi"/>
          <w:sz w:val="24"/>
          <w:szCs w:val="24"/>
          <w:lang w:bidi="ar-EG"/>
        </w:rPr>
        <w:t xml:space="preserve">F: F-value of one way ANOVA, t: student t-test, *: significant, </w:t>
      </w:r>
    </w:p>
    <w:p w:rsidR="009D5AD0" w:rsidRDefault="009D5AD0">
      <w:pPr>
        <w:bidi w:val="0"/>
        <w:rPr>
          <w:rFonts w:asciiTheme="majorBidi" w:hAnsiTheme="majorBidi" w:cstheme="majorBidi"/>
          <w:b/>
          <w:bCs/>
          <w:sz w:val="24"/>
          <w:szCs w:val="24"/>
          <w:lang w:bidi="ar-EG"/>
        </w:rPr>
      </w:pPr>
    </w:p>
    <w:p w:rsidR="009D5AD0" w:rsidRDefault="009D5AD0" w:rsidP="009D5AD0">
      <w:pPr>
        <w:bidi w:val="0"/>
        <w:spacing w:after="120" w:line="240" w:lineRule="auto"/>
        <w:rPr>
          <w:rFonts w:asciiTheme="majorBidi" w:hAnsiTheme="majorBidi" w:cstheme="majorBidi"/>
          <w:sz w:val="24"/>
          <w:szCs w:val="24"/>
          <w:lang w:bidi="ar-EG"/>
        </w:rPr>
      </w:pPr>
      <w:r>
        <w:rPr>
          <w:rFonts w:asciiTheme="majorBidi" w:hAnsiTheme="majorBidi" w:cstheme="majorBidi"/>
          <w:b/>
          <w:bCs/>
          <w:sz w:val="24"/>
          <w:szCs w:val="24"/>
          <w:lang w:bidi="ar-EG"/>
        </w:rPr>
        <w:t xml:space="preserve">Table </w:t>
      </w:r>
      <w:r>
        <w:rPr>
          <w:rFonts w:asciiTheme="majorBidi" w:hAnsiTheme="majorBidi" w:cstheme="majorBidi"/>
          <w:sz w:val="24"/>
          <w:szCs w:val="24"/>
          <w:lang w:bidi="ar-EG"/>
        </w:rPr>
        <w:t xml:space="preserve">3: </w:t>
      </w:r>
      <w:r>
        <w:rPr>
          <w:rFonts w:asciiTheme="majorBidi" w:hAnsiTheme="majorBidi" w:cstheme="majorBidi"/>
          <w:b/>
          <w:bCs/>
          <w:sz w:val="24"/>
          <w:szCs w:val="24"/>
          <w:lang w:bidi="ar-EG"/>
        </w:rPr>
        <w:t>Correlations between mRNA 204 and patients clinical data and laboratory investigations</w:t>
      </w:r>
      <w:r>
        <w:rPr>
          <w:rFonts w:asciiTheme="majorBidi" w:hAnsiTheme="majorBidi" w:cstheme="majorBidi"/>
          <w:sz w:val="24"/>
          <w:szCs w:val="24"/>
          <w:lang w:bidi="ar-EG"/>
        </w:rPr>
        <w:t xml:space="preserve"> </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588"/>
        <w:gridCol w:w="2493"/>
        <w:gridCol w:w="2135"/>
      </w:tblGrid>
      <w:tr w:rsidR="009D5AD0" w:rsidTr="009D5AD0">
        <w:trPr>
          <w:cantSplit/>
        </w:trPr>
        <w:tc>
          <w:tcPr>
            <w:tcW w:w="2184" w:type="pct"/>
            <w:vMerge w:val="restart"/>
            <w:tcBorders>
              <w:top w:val="thinThickSmallGap" w:sz="24" w:space="0" w:color="auto"/>
              <w:left w:val="thinThickSmallGap" w:sz="24" w:space="0" w:color="auto"/>
              <w:bottom w:val="single" w:sz="6" w:space="0" w:color="auto"/>
              <w:right w:val="single" w:sz="6" w:space="0" w:color="auto"/>
            </w:tcBorders>
            <w:shd w:val="clear" w:color="auto" w:fill="auto"/>
            <w:vAlign w:val="bottom"/>
          </w:tcPr>
          <w:p w:rsidR="009D5AD0" w:rsidRDefault="009D5AD0" w:rsidP="009D5AD0">
            <w:pPr>
              <w:bidi w:val="0"/>
              <w:spacing w:after="0" w:line="240" w:lineRule="auto"/>
              <w:rPr>
                <w:rFonts w:asciiTheme="majorBidi" w:hAnsiTheme="majorBidi" w:cstheme="majorBidi"/>
                <w:b/>
                <w:bCs/>
                <w:sz w:val="24"/>
                <w:szCs w:val="24"/>
                <w:lang w:bidi="ar-EG"/>
              </w:rPr>
            </w:pPr>
          </w:p>
        </w:tc>
        <w:tc>
          <w:tcPr>
            <w:tcW w:w="2816" w:type="pct"/>
            <w:gridSpan w:val="2"/>
            <w:tcBorders>
              <w:top w:val="thinThickSmallGap" w:sz="24" w:space="0" w:color="auto"/>
              <w:left w:val="single" w:sz="6" w:space="0" w:color="auto"/>
              <w:bottom w:val="single" w:sz="6" w:space="0" w:color="auto"/>
              <w:right w:val="thickThinSmallGap" w:sz="24" w:space="0" w:color="auto"/>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vertAlign w:val="subscript"/>
                <w:lang w:bidi="ar-EG"/>
              </w:rPr>
            </w:pPr>
            <w:r>
              <w:rPr>
                <w:rFonts w:asciiTheme="majorBidi" w:hAnsiTheme="majorBidi" w:cstheme="majorBidi"/>
                <w:b/>
                <w:bCs/>
                <w:sz w:val="24"/>
                <w:szCs w:val="24"/>
                <w:lang w:bidi="ar-EG"/>
              </w:rPr>
              <w:t>mRNA 204</w:t>
            </w:r>
          </w:p>
        </w:tc>
      </w:tr>
      <w:tr w:rsidR="009D5AD0" w:rsidTr="009D5AD0">
        <w:trPr>
          <w:cantSplit/>
        </w:trPr>
        <w:tc>
          <w:tcPr>
            <w:tcW w:w="0" w:type="auto"/>
            <w:vMerge/>
            <w:tcBorders>
              <w:top w:val="thinThickSmallGap" w:sz="24"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517"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r</w:t>
            </w:r>
          </w:p>
        </w:tc>
        <w:tc>
          <w:tcPr>
            <w:tcW w:w="1299"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P value </w:t>
            </w:r>
          </w:p>
        </w:tc>
      </w:tr>
      <w:tr w:rsidR="009D5AD0" w:rsidTr="009D5AD0">
        <w:trPr>
          <w:cantSplit/>
        </w:trPr>
        <w:tc>
          <w:tcPr>
            <w:tcW w:w="2184"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Age /years</w:t>
            </w:r>
          </w:p>
        </w:tc>
        <w:tc>
          <w:tcPr>
            <w:tcW w:w="1517"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0.067</w:t>
            </w:r>
          </w:p>
        </w:tc>
        <w:tc>
          <w:tcPr>
            <w:tcW w:w="1299"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0.400</w:t>
            </w:r>
          </w:p>
        </w:tc>
      </w:tr>
      <w:tr w:rsidR="009D5AD0" w:rsidTr="009D5AD0">
        <w:trPr>
          <w:cantSplit/>
        </w:trPr>
        <w:tc>
          <w:tcPr>
            <w:tcW w:w="2184"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Weight (percentile)</w:t>
            </w:r>
          </w:p>
        </w:tc>
        <w:tc>
          <w:tcPr>
            <w:tcW w:w="1517"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0.162</w:t>
            </w:r>
          </w:p>
        </w:tc>
        <w:tc>
          <w:tcPr>
            <w:tcW w:w="1299"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0.095</w:t>
            </w:r>
          </w:p>
        </w:tc>
      </w:tr>
      <w:tr w:rsidR="009D5AD0" w:rsidTr="009D5AD0">
        <w:trPr>
          <w:cantSplit/>
        </w:trPr>
        <w:tc>
          <w:tcPr>
            <w:tcW w:w="2184"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Height (percentile)</w:t>
            </w:r>
          </w:p>
        </w:tc>
        <w:tc>
          <w:tcPr>
            <w:tcW w:w="1517"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0.067</w:t>
            </w:r>
          </w:p>
        </w:tc>
        <w:tc>
          <w:tcPr>
            <w:tcW w:w="1299"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0.401</w:t>
            </w:r>
          </w:p>
        </w:tc>
      </w:tr>
      <w:tr w:rsidR="009D5AD0" w:rsidTr="009D5AD0">
        <w:trPr>
          <w:cantSplit/>
        </w:trPr>
        <w:tc>
          <w:tcPr>
            <w:tcW w:w="2184"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BMI (percentile)</w:t>
            </w:r>
          </w:p>
        </w:tc>
        <w:tc>
          <w:tcPr>
            <w:tcW w:w="1517"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0.181</w:t>
            </w:r>
          </w:p>
        </w:tc>
        <w:tc>
          <w:tcPr>
            <w:tcW w:w="1299"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0.109</w:t>
            </w:r>
          </w:p>
        </w:tc>
      </w:tr>
      <w:tr w:rsidR="009D5AD0" w:rsidTr="009D5AD0">
        <w:trPr>
          <w:cantSplit/>
        </w:trPr>
        <w:tc>
          <w:tcPr>
            <w:tcW w:w="2184"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Hemoglobin (mg/dl)</w:t>
            </w:r>
          </w:p>
        </w:tc>
        <w:tc>
          <w:tcPr>
            <w:tcW w:w="1517"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-0.324</w:t>
            </w:r>
          </w:p>
        </w:tc>
        <w:tc>
          <w:tcPr>
            <w:tcW w:w="1299"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&lt;0.001*</w:t>
            </w:r>
          </w:p>
        </w:tc>
      </w:tr>
      <w:tr w:rsidR="009D5AD0" w:rsidTr="009D5AD0">
        <w:trPr>
          <w:cantSplit/>
        </w:trPr>
        <w:tc>
          <w:tcPr>
            <w:tcW w:w="2184"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Platelets (x103/L)</w:t>
            </w:r>
          </w:p>
        </w:tc>
        <w:tc>
          <w:tcPr>
            <w:tcW w:w="1517"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-0.041</w:t>
            </w:r>
          </w:p>
        </w:tc>
        <w:tc>
          <w:tcPr>
            <w:tcW w:w="1299"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0.607</w:t>
            </w:r>
          </w:p>
        </w:tc>
      </w:tr>
      <w:tr w:rsidR="009D5AD0" w:rsidTr="009D5AD0">
        <w:trPr>
          <w:cantSplit/>
        </w:trPr>
        <w:tc>
          <w:tcPr>
            <w:tcW w:w="2184"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WBCs (x103/L)</w:t>
            </w:r>
          </w:p>
        </w:tc>
        <w:tc>
          <w:tcPr>
            <w:tcW w:w="1517"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-0.035</w:t>
            </w:r>
          </w:p>
        </w:tc>
        <w:tc>
          <w:tcPr>
            <w:tcW w:w="1299"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0.656</w:t>
            </w:r>
          </w:p>
        </w:tc>
      </w:tr>
      <w:tr w:rsidR="009D5AD0" w:rsidTr="009D5AD0">
        <w:trPr>
          <w:cantSplit/>
        </w:trPr>
        <w:tc>
          <w:tcPr>
            <w:tcW w:w="2184" w:type="pct"/>
            <w:tcBorders>
              <w:top w:val="single" w:sz="6" w:space="0" w:color="auto"/>
              <w:left w:val="thinThickSmallGap" w:sz="24"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mRNA 155</w:t>
            </w:r>
          </w:p>
        </w:tc>
        <w:tc>
          <w:tcPr>
            <w:tcW w:w="1517" w:type="pct"/>
            <w:tcBorders>
              <w:top w:val="single" w:sz="6" w:space="0" w:color="auto"/>
              <w:left w:val="single" w:sz="6"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-0.629</w:t>
            </w:r>
          </w:p>
        </w:tc>
        <w:tc>
          <w:tcPr>
            <w:tcW w:w="1299" w:type="pct"/>
            <w:tcBorders>
              <w:top w:val="single" w:sz="6" w:space="0" w:color="auto"/>
              <w:left w:val="single" w:sz="6" w:space="0" w:color="auto"/>
              <w:bottom w:val="thickThinSmallGap" w:sz="24"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&lt;0.001*</w:t>
            </w:r>
          </w:p>
        </w:tc>
      </w:tr>
    </w:tbl>
    <w:p w:rsidR="009D5AD0" w:rsidRDefault="009D5AD0" w:rsidP="009D5AD0">
      <w:pPr>
        <w:bidi w:val="0"/>
        <w:spacing w:after="120" w:line="240" w:lineRule="auto"/>
        <w:rPr>
          <w:rFonts w:asciiTheme="majorBidi" w:hAnsiTheme="majorBidi" w:cstheme="majorBidi"/>
          <w:sz w:val="24"/>
          <w:szCs w:val="24"/>
          <w:lang w:bidi="ar-EG"/>
        </w:rPr>
      </w:pPr>
      <w:proofErr w:type="gramStart"/>
      <w:r>
        <w:rPr>
          <w:rFonts w:asciiTheme="majorBidi" w:hAnsiTheme="majorBidi" w:cstheme="majorBidi"/>
          <w:sz w:val="24"/>
          <w:szCs w:val="24"/>
          <w:lang w:bidi="ar-EG"/>
        </w:rPr>
        <w:t>r</w:t>
      </w:r>
      <w:proofErr w:type="gramEnd"/>
      <w:r>
        <w:rPr>
          <w:rFonts w:asciiTheme="majorBidi" w:hAnsiTheme="majorBidi" w:cstheme="majorBidi"/>
          <w:sz w:val="24"/>
          <w:szCs w:val="24"/>
          <w:lang w:bidi="ar-EG"/>
        </w:rPr>
        <w:t>: correlation coefficient, *: significant</w:t>
      </w:r>
    </w:p>
    <w:p w:rsidR="009D5AD0" w:rsidRDefault="009D5AD0" w:rsidP="009D5AD0">
      <w:pPr>
        <w:bidi w:val="0"/>
        <w:spacing w:after="120" w:line="240" w:lineRule="auto"/>
        <w:rPr>
          <w:rFonts w:asciiTheme="majorBidi" w:hAnsiTheme="majorBidi" w:cstheme="majorBidi"/>
          <w:sz w:val="24"/>
          <w:szCs w:val="24"/>
          <w:lang w:bidi="ar-EG"/>
        </w:rPr>
      </w:pPr>
    </w:p>
    <w:p w:rsidR="009D5AD0" w:rsidRDefault="009D5AD0" w:rsidP="009D5AD0">
      <w:pPr>
        <w:bidi w:val="0"/>
        <w:spacing w:after="120" w:line="240" w:lineRule="auto"/>
        <w:rPr>
          <w:rFonts w:asciiTheme="majorBidi" w:hAnsiTheme="majorBidi" w:cstheme="majorBidi"/>
          <w:sz w:val="24"/>
          <w:szCs w:val="24"/>
          <w:lang w:bidi="ar-EG"/>
        </w:rPr>
      </w:pPr>
      <w:r>
        <w:rPr>
          <w:rFonts w:asciiTheme="majorBidi" w:hAnsiTheme="majorBidi" w:cstheme="majorBidi"/>
          <w:b/>
          <w:bCs/>
          <w:sz w:val="24"/>
          <w:szCs w:val="24"/>
          <w:lang w:bidi="ar-EG"/>
        </w:rPr>
        <w:lastRenderedPageBreak/>
        <w:t>Table 4:</w:t>
      </w:r>
      <w:r>
        <w:rPr>
          <w:rFonts w:asciiTheme="majorBidi" w:hAnsiTheme="majorBidi" w:cstheme="majorBidi"/>
          <w:sz w:val="24"/>
          <w:szCs w:val="24"/>
          <w:lang w:bidi="ar-EG"/>
        </w:rPr>
        <w:t xml:space="preserve"> </w:t>
      </w:r>
      <w:r>
        <w:rPr>
          <w:rFonts w:asciiTheme="majorBidi" w:hAnsiTheme="majorBidi" w:cstheme="majorBidi"/>
          <w:b/>
          <w:bCs/>
          <w:sz w:val="24"/>
          <w:szCs w:val="24"/>
          <w:lang w:bidi="ar-EG"/>
        </w:rPr>
        <w:t>mRNA 155 as regarding to endoscopic and histological findings in the studied patients</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28"/>
        <w:gridCol w:w="2271"/>
        <w:gridCol w:w="1418"/>
        <w:gridCol w:w="1241"/>
        <w:gridCol w:w="1029"/>
        <w:gridCol w:w="1029"/>
      </w:tblGrid>
      <w:tr w:rsidR="009D5AD0" w:rsidTr="009D5AD0">
        <w:trPr>
          <w:cantSplit/>
        </w:trPr>
        <w:tc>
          <w:tcPr>
            <w:tcW w:w="2129" w:type="pct"/>
            <w:gridSpan w:val="2"/>
            <w:vMerge w:val="restart"/>
            <w:tcBorders>
              <w:top w:val="thinThickSmallGap" w:sz="24" w:space="0" w:color="auto"/>
              <w:left w:val="thinThickSmallGap" w:sz="24" w:space="0" w:color="auto"/>
              <w:bottom w:val="single" w:sz="6" w:space="0" w:color="auto"/>
              <w:right w:val="single" w:sz="6" w:space="0" w:color="auto"/>
            </w:tcBorders>
            <w:shd w:val="clear" w:color="auto" w:fill="auto"/>
            <w:vAlign w:val="bottom"/>
          </w:tcPr>
          <w:p w:rsidR="009D5AD0" w:rsidRDefault="009D5AD0" w:rsidP="009D5AD0">
            <w:pPr>
              <w:bidi w:val="0"/>
              <w:spacing w:after="0" w:line="240" w:lineRule="auto"/>
              <w:rPr>
                <w:rFonts w:asciiTheme="majorBidi" w:hAnsiTheme="majorBidi" w:cstheme="majorBidi"/>
                <w:b/>
                <w:bCs/>
                <w:sz w:val="24"/>
                <w:szCs w:val="24"/>
                <w:lang w:bidi="ar-EG"/>
              </w:rPr>
            </w:pPr>
          </w:p>
        </w:tc>
        <w:tc>
          <w:tcPr>
            <w:tcW w:w="1618" w:type="pct"/>
            <w:gridSpan w:val="2"/>
            <w:tcBorders>
              <w:top w:val="thinThickSmallGap" w:sz="24" w:space="0" w:color="auto"/>
              <w:left w:val="single" w:sz="6" w:space="0" w:color="auto"/>
              <w:bottom w:val="single" w:sz="6" w:space="0" w:color="auto"/>
              <w:right w:val="single" w:sz="6" w:space="0" w:color="auto"/>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mRNA 155</w:t>
            </w:r>
          </w:p>
        </w:tc>
        <w:tc>
          <w:tcPr>
            <w:tcW w:w="626" w:type="pct"/>
            <w:vMerge w:val="restart"/>
            <w:tcBorders>
              <w:top w:val="thinThickSmallGap" w:sz="24"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Test</w:t>
            </w:r>
          </w:p>
        </w:tc>
        <w:tc>
          <w:tcPr>
            <w:tcW w:w="626" w:type="pct"/>
            <w:vMerge w:val="restart"/>
            <w:tcBorders>
              <w:top w:val="thinThickSmallGap" w:sz="24"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P value</w:t>
            </w:r>
          </w:p>
        </w:tc>
      </w:tr>
      <w:tr w:rsidR="009D5AD0" w:rsidTr="009D5AD0">
        <w:trPr>
          <w:cantSplit/>
        </w:trPr>
        <w:tc>
          <w:tcPr>
            <w:tcW w:w="0" w:type="auto"/>
            <w:gridSpan w:val="2"/>
            <w:vMerge/>
            <w:tcBorders>
              <w:top w:val="thinThickSmallGap" w:sz="24"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863"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Mean ±SD</w:t>
            </w:r>
          </w:p>
        </w:tc>
        <w:tc>
          <w:tcPr>
            <w:tcW w:w="755"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Range</w:t>
            </w:r>
          </w:p>
        </w:tc>
        <w:tc>
          <w:tcPr>
            <w:tcW w:w="0" w:type="auto"/>
            <w:vMerge/>
            <w:tcBorders>
              <w:top w:val="thinThickSmallGap" w:sz="24"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0" w:type="auto"/>
            <w:vMerge/>
            <w:tcBorders>
              <w:top w:val="thinThickSmallGap" w:sz="24"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r>
      <w:tr w:rsidR="009D5AD0" w:rsidTr="009D5AD0">
        <w:trPr>
          <w:cantSplit/>
        </w:trPr>
        <w:tc>
          <w:tcPr>
            <w:tcW w:w="747" w:type="pct"/>
            <w:vMerge w:val="restar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H pylori in stool</w:t>
            </w: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Negative</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6.1±4.1</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1.1-19.6</w:t>
            </w:r>
          </w:p>
        </w:tc>
        <w:tc>
          <w:tcPr>
            <w:tcW w:w="626"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t=6.1</w:t>
            </w:r>
          </w:p>
        </w:tc>
        <w:tc>
          <w:tcPr>
            <w:tcW w:w="626" w:type="pct"/>
            <w:vMerge w:val="restar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&lt;0.001*</w:t>
            </w:r>
          </w:p>
        </w:tc>
      </w:tr>
      <w:tr w:rsidR="009D5AD0" w:rsidTr="009D5AD0">
        <w:trPr>
          <w:cantSplit/>
        </w:trPr>
        <w:tc>
          <w:tcPr>
            <w:tcW w:w="0" w:type="auto"/>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Positive</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13.3±3.8</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5.4-19.2</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c>
          <w:tcPr>
            <w:tcW w:w="0" w:type="auto"/>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r>
      <w:tr w:rsidR="009D5AD0" w:rsidTr="009D5AD0">
        <w:trPr>
          <w:cantSplit/>
        </w:trPr>
        <w:tc>
          <w:tcPr>
            <w:tcW w:w="747" w:type="pct"/>
            <w:vMerge w:val="restar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Endoscopic finding in esophagus</w:t>
            </w: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Normal</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10.3±5.4</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1.1-19.6</w:t>
            </w:r>
          </w:p>
        </w:tc>
        <w:tc>
          <w:tcPr>
            <w:tcW w:w="626"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F=1.1</w:t>
            </w:r>
          </w:p>
        </w:tc>
        <w:tc>
          <w:tcPr>
            <w:tcW w:w="626" w:type="pct"/>
            <w:vMerge w:val="restar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0.57</w:t>
            </w:r>
          </w:p>
        </w:tc>
      </w:tr>
      <w:tr w:rsidR="009D5AD0" w:rsidTr="009D5AD0">
        <w:trPr>
          <w:cantSplit/>
        </w:trPr>
        <w:tc>
          <w:tcPr>
            <w:tcW w:w="0" w:type="auto"/>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Erosions</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8.3±4.1</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4.5-14.5</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c>
          <w:tcPr>
            <w:tcW w:w="0" w:type="auto"/>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r>
      <w:tr w:rsidR="009D5AD0" w:rsidTr="009D5AD0">
        <w:trPr>
          <w:cantSplit/>
        </w:trPr>
        <w:tc>
          <w:tcPr>
            <w:tcW w:w="0" w:type="auto"/>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Esophagitis</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10.8±8.9</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4.5-17.1</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c>
          <w:tcPr>
            <w:tcW w:w="0" w:type="auto"/>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r>
      <w:tr w:rsidR="009D5AD0" w:rsidTr="009D5AD0">
        <w:trPr>
          <w:cantSplit/>
        </w:trPr>
        <w:tc>
          <w:tcPr>
            <w:tcW w:w="747" w:type="pct"/>
            <w:vMerge w:val="restar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Endoscopic finding in stomach</w:t>
            </w: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Diffuse mild gastritis</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9.1±4.8</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1.1-18.1</w:t>
            </w:r>
          </w:p>
        </w:tc>
        <w:tc>
          <w:tcPr>
            <w:tcW w:w="626"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F=8.9</w:t>
            </w:r>
          </w:p>
        </w:tc>
        <w:tc>
          <w:tcPr>
            <w:tcW w:w="626" w:type="pct"/>
            <w:vMerge w:val="restar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0.009*</w:t>
            </w:r>
          </w:p>
        </w:tc>
      </w:tr>
      <w:tr w:rsidR="009D5AD0" w:rsidTr="009D5AD0">
        <w:trPr>
          <w:cantSplit/>
        </w:trPr>
        <w:tc>
          <w:tcPr>
            <w:tcW w:w="0" w:type="auto"/>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Moderate gastritis</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10.0</w:t>
            </w:r>
            <w:r>
              <w:rPr>
                <w:rFonts w:asciiTheme="majorBidi" w:hAnsiTheme="majorBidi" w:cstheme="majorBidi"/>
                <w:b/>
                <w:bCs/>
                <w:sz w:val="24"/>
                <w:szCs w:val="24"/>
                <w:lang w:bidi="ar-EG"/>
              </w:rPr>
              <w:t>±</w:t>
            </w:r>
            <w:r>
              <w:rPr>
                <w:rFonts w:asciiTheme="majorBidi" w:hAnsiTheme="majorBidi" w:cstheme="majorBidi"/>
                <w:sz w:val="24"/>
                <w:szCs w:val="24"/>
                <w:lang w:bidi="ar-EG"/>
              </w:rPr>
              <w:t>5.3</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1.2-19.1</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c>
          <w:tcPr>
            <w:tcW w:w="0" w:type="auto"/>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r>
      <w:tr w:rsidR="009D5AD0" w:rsidTr="009D5AD0">
        <w:trPr>
          <w:cantSplit/>
        </w:trPr>
        <w:tc>
          <w:tcPr>
            <w:tcW w:w="0" w:type="auto"/>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Severe gastritis &amp; nodularity</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10.9</w:t>
            </w:r>
            <w:r>
              <w:rPr>
                <w:rFonts w:asciiTheme="majorBidi" w:hAnsiTheme="majorBidi" w:cstheme="majorBidi"/>
                <w:b/>
                <w:bCs/>
                <w:sz w:val="24"/>
                <w:szCs w:val="24"/>
                <w:lang w:bidi="ar-EG"/>
              </w:rPr>
              <w:t>±</w:t>
            </w:r>
            <w:r>
              <w:rPr>
                <w:rFonts w:asciiTheme="majorBidi" w:hAnsiTheme="majorBidi" w:cstheme="majorBidi"/>
                <w:sz w:val="24"/>
                <w:szCs w:val="24"/>
                <w:lang w:bidi="ar-EG"/>
              </w:rPr>
              <w:t>5.8</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3.5-19.6</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c>
          <w:tcPr>
            <w:tcW w:w="0" w:type="auto"/>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r>
      <w:tr w:rsidR="009D5AD0" w:rsidTr="009D5AD0">
        <w:trPr>
          <w:cantSplit/>
        </w:trPr>
        <w:tc>
          <w:tcPr>
            <w:tcW w:w="0" w:type="auto"/>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Gastric ulcer</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17.2</w:t>
            </w:r>
            <w:r>
              <w:rPr>
                <w:rFonts w:asciiTheme="majorBidi" w:hAnsiTheme="majorBidi" w:cstheme="majorBidi"/>
                <w:b/>
                <w:bCs/>
                <w:sz w:val="24"/>
                <w:szCs w:val="24"/>
                <w:lang w:bidi="ar-EG"/>
              </w:rPr>
              <w:t>±</w:t>
            </w:r>
            <w:r>
              <w:rPr>
                <w:rFonts w:asciiTheme="majorBidi" w:hAnsiTheme="majorBidi" w:cstheme="majorBidi"/>
                <w:sz w:val="24"/>
                <w:szCs w:val="24"/>
                <w:lang w:bidi="ar-EG"/>
              </w:rPr>
              <w:t>1.8</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15.6-19.2</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c>
          <w:tcPr>
            <w:tcW w:w="0" w:type="auto"/>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r>
      <w:tr w:rsidR="009D5AD0" w:rsidTr="009D5AD0">
        <w:trPr>
          <w:cantSplit/>
        </w:trPr>
        <w:tc>
          <w:tcPr>
            <w:tcW w:w="747" w:type="pct"/>
            <w:vMerge w:val="restar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Endoscopic finding in duodenum</w:t>
            </w: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Normal</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9.6</w:t>
            </w:r>
            <w:r>
              <w:rPr>
                <w:rFonts w:asciiTheme="majorBidi" w:hAnsiTheme="majorBidi" w:cstheme="majorBidi"/>
                <w:b/>
                <w:bCs/>
                <w:sz w:val="24"/>
                <w:szCs w:val="24"/>
                <w:lang w:bidi="ar-EG"/>
              </w:rPr>
              <w:t>±</w:t>
            </w:r>
            <w:r>
              <w:rPr>
                <w:rFonts w:asciiTheme="majorBidi" w:hAnsiTheme="majorBidi" w:cstheme="majorBidi"/>
                <w:sz w:val="24"/>
                <w:szCs w:val="24"/>
                <w:lang w:bidi="ar-EG"/>
              </w:rPr>
              <w:t>5.2</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1.1-19.2</w:t>
            </w:r>
          </w:p>
        </w:tc>
        <w:tc>
          <w:tcPr>
            <w:tcW w:w="626"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t=1.2</w:t>
            </w:r>
          </w:p>
        </w:tc>
        <w:tc>
          <w:tcPr>
            <w:tcW w:w="626" w:type="pct"/>
            <w:vMerge w:val="restar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0.27</w:t>
            </w:r>
          </w:p>
        </w:tc>
      </w:tr>
      <w:tr w:rsidR="009D5AD0" w:rsidTr="009D5AD0">
        <w:trPr>
          <w:cantSplit/>
        </w:trPr>
        <w:tc>
          <w:tcPr>
            <w:tcW w:w="0" w:type="auto"/>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proofErr w:type="spellStart"/>
            <w:r>
              <w:rPr>
                <w:rFonts w:asciiTheme="majorBidi" w:hAnsiTheme="majorBidi" w:cstheme="majorBidi"/>
                <w:b/>
                <w:bCs/>
                <w:sz w:val="24"/>
                <w:szCs w:val="24"/>
                <w:lang w:bidi="ar-EG"/>
              </w:rPr>
              <w:t>Duodenitis</w:t>
            </w:r>
            <w:proofErr w:type="spellEnd"/>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10.9</w:t>
            </w:r>
            <w:r>
              <w:rPr>
                <w:rFonts w:asciiTheme="majorBidi" w:hAnsiTheme="majorBidi" w:cstheme="majorBidi"/>
                <w:b/>
                <w:bCs/>
                <w:sz w:val="24"/>
                <w:szCs w:val="24"/>
                <w:lang w:bidi="ar-EG"/>
              </w:rPr>
              <w:t>±</w:t>
            </w:r>
            <w:r>
              <w:rPr>
                <w:rFonts w:asciiTheme="majorBidi" w:hAnsiTheme="majorBidi" w:cstheme="majorBidi"/>
                <w:sz w:val="24"/>
                <w:szCs w:val="24"/>
                <w:lang w:bidi="ar-EG"/>
              </w:rPr>
              <w:t>5.5</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3.6-19.6</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c>
          <w:tcPr>
            <w:tcW w:w="0" w:type="auto"/>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r>
      <w:tr w:rsidR="009D5AD0" w:rsidTr="009D5AD0">
        <w:trPr>
          <w:cantSplit/>
        </w:trPr>
        <w:tc>
          <w:tcPr>
            <w:tcW w:w="747" w:type="pct"/>
            <w:vMerge w:val="restar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Biopsy report of the stomach</w:t>
            </w: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Mild chronic active gastritis</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9.0</w:t>
            </w:r>
            <w:r>
              <w:rPr>
                <w:rFonts w:asciiTheme="majorBidi" w:hAnsiTheme="majorBidi" w:cstheme="majorBidi"/>
                <w:b/>
                <w:bCs/>
                <w:sz w:val="24"/>
                <w:szCs w:val="24"/>
                <w:lang w:bidi="ar-EG"/>
              </w:rPr>
              <w:t>±</w:t>
            </w:r>
            <w:r>
              <w:rPr>
                <w:rFonts w:asciiTheme="majorBidi" w:hAnsiTheme="majorBidi" w:cstheme="majorBidi"/>
                <w:sz w:val="24"/>
                <w:szCs w:val="24"/>
                <w:lang w:bidi="ar-EG"/>
              </w:rPr>
              <w:t>4.5</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1.1-18.1</w:t>
            </w:r>
          </w:p>
        </w:tc>
        <w:tc>
          <w:tcPr>
            <w:tcW w:w="626"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F=5.9</w:t>
            </w:r>
          </w:p>
        </w:tc>
        <w:tc>
          <w:tcPr>
            <w:tcW w:w="626" w:type="pct"/>
            <w:vMerge w:val="restar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0.036*</w:t>
            </w:r>
          </w:p>
        </w:tc>
      </w:tr>
      <w:tr w:rsidR="009D5AD0" w:rsidTr="009D5AD0">
        <w:trPr>
          <w:cantSplit/>
        </w:trPr>
        <w:tc>
          <w:tcPr>
            <w:tcW w:w="0" w:type="auto"/>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Moderate chronic active gastritis</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10.0</w:t>
            </w:r>
            <w:r>
              <w:rPr>
                <w:rFonts w:asciiTheme="majorBidi" w:hAnsiTheme="majorBidi" w:cstheme="majorBidi"/>
                <w:b/>
                <w:bCs/>
                <w:sz w:val="24"/>
                <w:szCs w:val="24"/>
                <w:lang w:bidi="ar-EG"/>
              </w:rPr>
              <w:t>±</w:t>
            </w:r>
            <w:r>
              <w:rPr>
                <w:rFonts w:asciiTheme="majorBidi" w:hAnsiTheme="majorBidi" w:cstheme="majorBidi"/>
                <w:sz w:val="24"/>
                <w:szCs w:val="24"/>
                <w:lang w:bidi="ar-EG"/>
              </w:rPr>
              <w:t>5.5</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1.2-19.1</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c>
          <w:tcPr>
            <w:tcW w:w="0" w:type="auto"/>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r>
      <w:tr w:rsidR="009D5AD0" w:rsidTr="009D5AD0">
        <w:trPr>
          <w:cantSplit/>
        </w:trPr>
        <w:tc>
          <w:tcPr>
            <w:tcW w:w="0" w:type="auto"/>
            <w:vMerge/>
            <w:tcBorders>
              <w:top w:val="single" w:sz="6"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Severe active gastritis</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12.1</w:t>
            </w:r>
            <w:r>
              <w:rPr>
                <w:rFonts w:asciiTheme="majorBidi" w:hAnsiTheme="majorBidi" w:cstheme="majorBidi"/>
                <w:b/>
                <w:bCs/>
                <w:sz w:val="24"/>
                <w:szCs w:val="24"/>
                <w:lang w:bidi="ar-EG"/>
              </w:rPr>
              <w:t>±</w:t>
            </w:r>
            <w:r>
              <w:rPr>
                <w:rFonts w:asciiTheme="majorBidi" w:hAnsiTheme="majorBidi" w:cstheme="majorBidi"/>
                <w:sz w:val="24"/>
                <w:szCs w:val="24"/>
                <w:lang w:bidi="ar-EG"/>
              </w:rPr>
              <w:t>5.9</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3.5-19.6</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c>
          <w:tcPr>
            <w:tcW w:w="0" w:type="auto"/>
            <w:vMerge/>
            <w:tcBorders>
              <w:top w:val="single" w:sz="6" w:space="0" w:color="auto"/>
              <w:left w:val="single" w:sz="6" w:space="0" w:color="auto"/>
              <w:bottom w:val="single" w:sz="6" w:space="0" w:color="auto"/>
              <w:right w:val="thickThinSmallGap" w:sz="24"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r>
      <w:tr w:rsidR="009D5AD0" w:rsidTr="009D5AD0">
        <w:trPr>
          <w:cantSplit/>
        </w:trPr>
        <w:tc>
          <w:tcPr>
            <w:tcW w:w="747" w:type="pct"/>
            <w:vMerge w:val="restart"/>
            <w:tcBorders>
              <w:top w:val="single" w:sz="6" w:space="0" w:color="auto"/>
              <w:left w:val="thinThickSmallGap" w:sz="24"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proofErr w:type="spellStart"/>
            <w:r>
              <w:rPr>
                <w:rFonts w:asciiTheme="majorBidi" w:hAnsiTheme="majorBidi" w:cstheme="majorBidi"/>
                <w:b/>
                <w:bCs/>
                <w:sz w:val="24"/>
                <w:szCs w:val="24"/>
                <w:lang w:bidi="ar-EG"/>
              </w:rPr>
              <w:t>H.pylori</w:t>
            </w:r>
            <w:proofErr w:type="spellEnd"/>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No</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5.1</w:t>
            </w:r>
            <w:r>
              <w:rPr>
                <w:rFonts w:asciiTheme="majorBidi" w:hAnsiTheme="majorBidi" w:cstheme="majorBidi"/>
                <w:b/>
                <w:bCs/>
                <w:sz w:val="24"/>
                <w:szCs w:val="24"/>
                <w:lang w:bidi="ar-EG"/>
              </w:rPr>
              <w:t>±</w:t>
            </w:r>
            <w:r>
              <w:rPr>
                <w:rFonts w:asciiTheme="majorBidi" w:hAnsiTheme="majorBidi" w:cstheme="majorBidi"/>
                <w:sz w:val="24"/>
                <w:szCs w:val="24"/>
                <w:lang w:bidi="ar-EG"/>
              </w:rPr>
              <w:t>2.5</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1.1-13.3</w:t>
            </w:r>
          </w:p>
        </w:tc>
        <w:tc>
          <w:tcPr>
            <w:tcW w:w="626" w:type="pct"/>
            <w:vMerge w:val="restart"/>
            <w:tcBorders>
              <w:top w:val="single" w:sz="6" w:space="0" w:color="auto"/>
              <w:left w:val="single" w:sz="6"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F=66.3</w:t>
            </w:r>
          </w:p>
        </w:tc>
        <w:tc>
          <w:tcPr>
            <w:tcW w:w="626" w:type="pct"/>
            <w:vMerge w:val="restart"/>
            <w:tcBorders>
              <w:top w:val="single" w:sz="6" w:space="0" w:color="auto"/>
              <w:left w:val="single" w:sz="6" w:space="0" w:color="auto"/>
              <w:bottom w:val="thickThinSmallGap" w:sz="24"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&lt;0.001*</w:t>
            </w:r>
          </w:p>
        </w:tc>
      </w:tr>
      <w:tr w:rsidR="009D5AD0" w:rsidTr="009D5AD0">
        <w:trPr>
          <w:cantSplit/>
        </w:trPr>
        <w:tc>
          <w:tcPr>
            <w:tcW w:w="0" w:type="auto"/>
            <w:vMerge/>
            <w:tcBorders>
              <w:top w:val="single" w:sz="6" w:space="0" w:color="auto"/>
              <w:left w:val="thinThickSmallGap" w:sz="24" w:space="0" w:color="auto"/>
              <w:bottom w:val="thickThinSmallGap" w:sz="24"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10.2</w:t>
            </w:r>
            <w:r>
              <w:rPr>
                <w:rFonts w:asciiTheme="majorBidi" w:hAnsiTheme="majorBidi" w:cstheme="majorBidi"/>
                <w:b/>
                <w:bCs/>
                <w:sz w:val="24"/>
                <w:szCs w:val="24"/>
                <w:lang w:bidi="ar-EG"/>
              </w:rPr>
              <w:t>±</w:t>
            </w:r>
            <w:r>
              <w:rPr>
                <w:rFonts w:asciiTheme="majorBidi" w:hAnsiTheme="majorBidi" w:cstheme="majorBidi"/>
                <w:sz w:val="24"/>
                <w:szCs w:val="24"/>
                <w:lang w:bidi="ar-EG"/>
              </w:rPr>
              <w:t>3.3</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5.4-16.8</w:t>
            </w:r>
          </w:p>
        </w:tc>
        <w:tc>
          <w:tcPr>
            <w:tcW w:w="0" w:type="auto"/>
            <w:vMerge/>
            <w:tcBorders>
              <w:top w:val="single" w:sz="6" w:space="0" w:color="auto"/>
              <w:left w:val="single" w:sz="6" w:space="0" w:color="auto"/>
              <w:bottom w:val="thickThinSmallGap" w:sz="24"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c>
          <w:tcPr>
            <w:tcW w:w="0" w:type="auto"/>
            <w:vMerge/>
            <w:tcBorders>
              <w:top w:val="single" w:sz="6" w:space="0" w:color="auto"/>
              <w:left w:val="single" w:sz="6" w:space="0" w:color="auto"/>
              <w:bottom w:val="thickThinSmallGap" w:sz="24" w:space="0" w:color="auto"/>
              <w:right w:val="thickThinSmallGap" w:sz="24"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r>
      <w:tr w:rsidR="009D5AD0" w:rsidTr="009D5AD0">
        <w:trPr>
          <w:cantSplit/>
        </w:trPr>
        <w:tc>
          <w:tcPr>
            <w:tcW w:w="0" w:type="auto"/>
            <w:vMerge/>
            <w:tcBorders>
              <w:top w:val="single" w:sz="6" w:space="0" w:color="auto"/>
              <w:left w:val="thinThickSmallGap" w:sz="24" w:space="0" w:color="auto"/>
              <w:bottom w:val="thickThinSmallGap" w:sz="24"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382"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w:t>
            </w:r>
          </w:p>
        </w:tc>
        <w:tc>
          <w:tcPr>
            <w:tcW w:w="863"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14.5</w:t>
            </w:r>
            <w:r>
              <w:rPr>
                <w:rFonts w:asciiTheme="majorBidi" w:hAnsiTheme="majorBidi" w:cstheme="majorBidi"/>
                <w:b/>
                <w:bCs/>
                <w:sz w:val="24"/>
                <w:szCs w:val="24"/>
                <w:lang w:bidi="ar-EG"/>
              </w:rPr>
              <w:t>±</w:t>
            </w:r>
            <w:r>
              <w:rPr>
                <w:rFonts w:asciiTheme="majorBidi" w:hAnsiTheme="majorBidi" w:cstheme="majorBidi"/>
                <w:sz w:val="24"/>
                <w:szCs w:val="24"/>
                <w:lang w:bidi="ar-EG"/>
              </w:rPr>
              <w:t>2.7</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8.6-18.1</w:t>
            </w:r>
          </w:p>
        </w:tc>
        <w:tc>
          <w:tcPr>
            <w:tcW w:w="0" w:type="auto"/>
            <w:vMerge/>
            <w:tcBorders>
              <w:top w:val="single" w:sz="6" w:space="0" w:color="auto"/>
              <w:left w:val="single" w:sz="6" w:space="0" w:color="auto"/>
              <w:bottom w:val="thickThinSmallGap" w:sz="24"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c>
          <w:tcPr>
            <w:tcW w:w="0" w:type="auto"/>
            <w:vMerge/>
            <w:tcBorders>
              <w:top w:val="single" w:sz="6" w:space="0" w:color="auto"/>
              <w:left w:val="single" w:sz="6" w:space="0" w:color="auto"/>
              <w:bottom w:val="thickThinSmallGap" w:sz="24" w:space="0" w:color="auto"/>
              <w:right w:val="thickThinSmallGap" w:sz="24"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r>
      <w:tr w:rsidR="009D5AD0" w:rsidTr="009D5AD0">
        <w:trPr>
          <w:cantSplit/>
        </w:trPr>
        <w:tc>
          <w:tcPr>
            <w:tcW w:w="0" w:type="auto"/>
            <w:vMerge/>
            <w:tcBorders>
              <w:top w:val="single" w:sz="6" w:space="0" w:color="auto"/>
              <w:left w:val="thinThickSmallGap" w:sz="24" w:space="0" w:color="auto"/>
              <w:bottom w:val="thickThinSmallGap" w:sz="24"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382" w:type="pct"/>
            <w:tcBorders>
              <w:top w:val="single" w:sz="6" w:space="0" w:color="auto"/>
              <w:left w:val="single" w:sz="6"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w:t>
            </w:r>
          </w:p>
        </w:tc>
        <w:tc>
          <w:tcPr>
            <w:tcW w:w="863" w:type="pct"/>
            <w:tcBorders>
              <w:top w:val="single" w:sz="6" w:space="0" w:color="auto"/>
              <w:left w:val="single" w:sz="6"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18.2</w:t>
            </w:r>
            <w:r>
              <w:rPr>
                <w:rFonts w:asciiTheme="majorBidi" w:hAnsiTheme="majorBidi" w:cstheme="majorBidi"/>
                <w:b/>
                <w:bCs/>
                <w:sz w:val="24"/>
                <w:szCs w:val="24"/>
                <w:lang w:bidi="ar-EG"/>
              </w:rPr>
              <w:t>±</w:t>
            </w:r>
            <w:r>
              <w:rPr>
                <w:rFonts w:asciiTheme="majorBidi" w:hAnsiTheme="majorBidi" w:cstheme="majorBidi"/>
                <w:sz w:val="24"/>
                <w:szCs w:val="24"/>
                <w:lang w:bidi="ar-EG"/>
              </w:rPr>
              <w:t>1.6</w:t>
            </w:r>
          </w:p>
        </w:tc>
        <w:tc>
          <w:tcPr>
            <w:tcW w:w="755" w:type="pct"/>
            <w:tcBorders>
              <w:top w:val="single" w:sz="6" w:space="0" w:color="auto"/>
              <w:left w:val="single" w:sz="6"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14.9-19.6</w:t>
            </w:r>
          </w:p>
        </w:tc>
        <w:tc>
          <w:tcPr>
            <w:tcW w:w="0" w:type="auto"/>
            <w:vMerge/>
            <w:tcBorders>
              <w:top w:val="single" w:sz="6" w:space="0" w:color="auto"/>
              <w:left w:val="single" w:sz="6" w:space="0" w:color="auto"/>
              <w:bottom w:val="thickThinSmallGap" w:sz="24"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c>
          <w:tcPr>
            <w:tcW w:w="0" w:type="auto"/>
            <w:vMerge/>
            <w:tcBorders>
              <w:top w:val="single" w:sz="6" w:space="0" w:color="auto"/>
              <w:left w:val="single" w:sz="6" w:space="0" w:color="auto"/>
              <w:bottom w:val="thickThinSmallGap" w:sz="24" w:space="0" w:color="auto"/>
              <w:right w:val="thickThinSmallGap" w:sz="24" w:space="0" w:color="auto"/>
            </w:tcBorders>
            <w:shd w:val="clear" w:color="auto" w:fill="auto"/>
            <w:vAlign w:val="center"/>
            <w:hideMark/>
          </w:tcPr>
          <w:p w:rsidR="009D5AD0" w:rsidRDefault="009D5AD0" w:rsidP="009D5AD0">
            <w:pPr>
              <w:bidi w:val="0"/>
              <w:spacing w:after="0"/>
              <w:rPr>
                <w:rFonts w:asciiTheme="majorBidi" w:hAnsiTheme="majorBidi" w:cstheme="majorBidi"/>
                <w:sz w:val="24"/>
                <w:szCs w:val="24"/>
                <w:lang w:bidi="ar-EG"/>
              </w:rPr>
            </w:pPr>
          </w:p>
        </w:tc>
      </w:tr>
    </w:tbl>
    <w:p w:rsidR="009D5AD0" w:rsidRDefault="009D5AD0" w:rsidP="009D5AD0">
      <w:pPr>
        <w:bidi w:val="0"/>
        <w:spacing w:after="120" w:line="240" w:lineRule="auto"/>
        <w:rPr>
          <w:rFonts w:asciiTheme="majorBidi" w:hAnsiTheme="majorBidi" w:cstheme="majorBidi"/>
          <w:sz w:val="24"/>
          <w:szCs w:val="24"/>
          <w:lang w:bidi="ar-EG"/>
        </w:rPr>
      </w:pPr>
      <w:r>
        <w:rPr>
          <w:rFonts w:asciiTheme="majorBidi" w:hAnsiTheme="majorBidi" w:cstheme="majorBidi"/>
          <w:sz w:val="24"/>
          <w:szCs w:val="24"/>
          <w:lang w:bidi="ar-EG"/>
        </w:rPr>
        <w:t xml:space="preserve">F: F-value of one way ANOVA, t: student t-test, *: significant, </w:t>
      </w:r>
    </w:p>
    <w:p w:rsidR="009D5AD0" w:rsidRDefault="009D5AD0" w:rsidP="009D5AD0">
      <w:pPr>
        <w:bidi w:val="0"/>
        <w:spacing w:after="120" w:line="240" w:lineRule="auto"/>
        <w:rPr>
          <w:rFonts w:asciiTheme="majorBidi" w:hAnsiTheme="majorBidi" w:cstheme="majorBidi"/>
          <w:b/>
          <w:bCs/>
          <w:sz w:val="24"/>
          <w:szCs w:val="24"/>
          <w:lang w:bidi="ar-EG"/>
        </w:rPr>
      </w:pPr>
    </w:p>
    <w:p w:rsidR="009D5AD0" w:rsidRDefault="009D5AD0" w:rsidP="009D5AD0">
      <w:pPr>
        <w:bidi w:val="0"/>
        <w:spacing w:after="120" w:line="240" w:lineRule="auto"/>
        <w:rPr>
          <w:rFonts w:asciiTheme="majorBidi" w:hAnsiTheme="majorBidi" w:cstheme="majorBidi"/>
          <w:sz w:val="24"/>
          <w:szCs w:val="24"/>
          <w:lang w:bidi="ar-EG"/>
        </w:rPr>
      </w:pPr>
      <w:r>
        <w:rPr>
          <w:rFonts w:asciiTheme="majorBidi" w:hAnsiTheme="majorBidi" w:cstheme="majorBidi"/>
          <w:b/>
          <w:bCs/>
          <w:sz w:val="24"/>
          <w:szCs w:val="24"/>
          <w:lang w:bidi="ar-EG"/>
        </w:rPr>
        <w:t>Table 5:</w:t>
      </w:r>
      <w:r>
        <w:rPr>
          <w:rFonts w:asciiTheme="majorBidi" w:hAnsiTheme="majorBidi" w:cstheme="majorBidi"/>
          <w:sz w:val="24"/>
          <w:szCs w:val="24"/>
          <w:lang w:bidi="ar-EG"/>
        </w:rPr>
        <w:t xml:space="preserve"> </w:t>
      </w:r>
      <w:r>
        <w:rPr>
          <w:rFonts w:asciiTheme="majorBidi" w:hAnsiTheme="majorBidi" w:cstheme="majorBidi"/>
          <w:b/>
          <w:bCs/>
          <w:sz w:val="24"/>
          <w:szCs w:val="24"/>
          <w:lang w:bidi="ar-EG"/>
        </w:rPr>
        <w:t>Correlations between mRNA 155 and patients clinical data and laboratory investigations</w:t>
      </w:r>
      <w:r>
        <w:rPr>
          <w:rFonts w:asciiTheme="majorBidi" w:hAnsiTheme="majorBidi" w:cstheme="majorBidi"/>
          <w:sz w:val="24"/>
          <w:szCs w:val="24"/>
          <w:lang w:bidi="ar-EG"/>
        </w:rPr>
        <w:t xml:space="preserve"> </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58"/>
        <w:gridCol w:w="2228"/>
        <w:gridCol w:w="2230"/>
      </w:tblGrid>
      <w:tr w:rsidR="009D5AD0" w:rsidTr="009D5AD0">
        <w:trPr>
          <w:cantSplit/>
        </w:trPr>
        <w:tc>
          <w:tcPr>
            <w:tcW w:w="2287" w:type="pct"/>
            <w:vMerge w:val="restart"/>
            <w:tcBorders>
              <w:top w:val="thinThickSmallGap" w:sz="24" w:space="0" w:color="auto"/>
              <w:left w:val="thinThickSmallGap" w:sz="24" w:space="0" w:color="auto"/>
              <w:bottom w:val="single" w:sz="6" w:space="0" w:color="auto"/>
              <w:right w:val="single" w:sz="6" w:space="0" w:color="auto"/>
            </w:tcBorders>
            <w:shd w:val="clear" w:color="auto" w:fill="auto"/>
            <w:vAlign w:val="bottom"/>
          </w:tcPr>
          <w:p w:rsidR="009D5AD0" w:rsidRDefault="009D5AD0" w:rsidP="009D5AD0">
            <w:pPr>
              <w:bidi w:val="0"/>
              <w:spacing w:after="0" w:line="240" w:lineRule="auto"/>
              <w:rPr>
                <w:rFonts w:asciiTheme="majorBidi" w:hAnsiTheme="majorBidi" w:cstheme="majorBidi"/>
                <w:b/>
                <w:bCs/>
                <w:sz w:val="24"/>
                <w:szCs w:val="24"/>
                <w:lang w:bidi="ar-EG"/>
              </w:rPr>
            </w:pPr>
          </w:p>
        </w:tc>
        <w:tc>
          <w:tcPr>
            <w:tcW w:w="2713" w:type="pct"/>
            <w:gridSpan w:val="2"/>
            <w:tcBorders>
              <w:top w:val="thinThickSmallGap" w:sz="24" w:space="0" w:color="auto"/>
              <w:left w:val="single" w:sz="6" w:space="0" w:color="auto"/>
              <w:bottom w:val="single" w:sz="6" w:space="0" w:color="auto"/>
              <w:right w:val="thickThinSmallGap" w:sz="24" w:space="0" w:color="auto"/>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mRNA 155</w:t>
            </w:r>
          </w:p>
        </w:tc>
      </w:tr>
      <w:tr w:rsidR="009D5AD0" w:rsidTr="009D5AD0">
        <w:trPr>
          <w:cantSplit/>
        </w:trPr>
        <w:tc>
          <w:tcPr>
            <w:tcW w:w="0" w:type="auto"/>
            <w:vMerge/>
            <w:tcBorders>
              <w:top w:val="thinThickSmallGap" w:sz="24" w:space="0" w:color="auto"/>
              <w:left w:val="thinThickSmallGap" w:sz="24" w:space="0" w:color="auto"/>
              <w:bottom w:val="single" w:sz="6" w:space="0" w:color="auto"/>
              <w:right w:val="single" w:sz="6" w:space="0" w:color="auto"/>
            </w:tcBorders>
            <w:shd w:val="clear" w:color="auto" w:fill="auto"/>
            <w:vAlign w:val="center"/>
            <w:hideMark/>
          </w:tcPr>
          <w:p w:rsidR="009D5AD0" w:rsidRDefault="009D5AD0" w:rsidP="009D5AD0">
            <w:pPr>
              <w:bidi w:val="0"/>
              <w:spacing w:after="0"/>
              <w:rPr>
                <w:rFonts w:asciiTheme="majorBidi" w:hAnsiTheme="majorBidi" w:cstheme="majorBidi"/>
                <w:b/>
                <w:bCs/>
                <w:sz w:val="24"/>
                <w:szCs w:val="24"/>
                <w:lang w:bidi="ar-EG"/>
              </w:rPr>
            </w:pPr>
          </w:p>
        </w:tc>
        <w:tc>
          <w:tcPr>
            <w:tcW w:w="1356"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r</w:t>
            </w:r>
          </w:p>
        </w:tc>
        <w:tc>
          <w:tcPr>
            <w:tcW w:w="1357"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P value </w:t>
            </w:r>
          </w:p>
        </w:tc>
      </w:tr>
      <w:tr w:rsidR="009D5AD0" w:rsidTr="009D5AD0">
        <w:trPr>
          <w:cantSplit/>
        </w:trPr>
        <w:tc>
          <w:tcPr>
            <w:tcW w:w="2287"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Age /years</w:t>
            </w:r>
          </w:p>
        </w:tc>
        <w:tc>
          <w:tcPr>
            <w:tcW w:w="1356"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-0.066</w:t>
            </w:r>
          </w:p>
        </w:tc>
        <w:tc>
          <w:tcPr>
            <w:tcW w:w="1357"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0.404</w:t>
            </w:r>
          </w:p>
        </w:tc>
      </w:tr>
      <w:tr w:rsidR="009D5AD0" w:rsidTr="009D5AD0">
        <w:trPr>
          <w:cantSplit/>
        </w:trPr>
        <w:tc>
          <w:tcPr>
            <w:tcW w:w="2287"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Weight (percentile)</w:t>
            </w:r>
          </w:p>
        </w:tc>
        <w:tc>
          <w:tcPr>
            <w:tcW w:w="1356"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-0.251</w:t>
            </w:r>
          </w:p>
        </w:tc>
        <w:tc>
          <w:tcPr>
            <w:tcW w:w="1357"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&lt;0.001*</w:t>
            </w:r>
          </w:p>
        </w:tc>
      </w:tr>
      <w:tr w:rsidR="009D5AD0" w:rsidTr="009D5AD0">
        <w:trPr>
          <w:cantSplit/>
        </w:trPr>
        <w:tc>
          <w:tcPr>
            <w:tcW w:w="2287"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Height (percentile)</w:t>
            </w:r>
          </w:p>
        </w:tc>
        <w:tc>
          <w:tcPr>
            <w:tcW w:w="1356"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-0.132</w:t>
            </w:r>
          </w:p>
        </w:tc>
        <w:tc>
          <w:tcPr>
            <w:tcW w:w="1357"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0.096</w:t>
            </w:r>
          </w:p>
        </w:tc>
      </w:tr>
      <w:tr w:rsidR="009D5AD0" w:rsidTr="009D5AD0">
        <w:trPr>
          <w:cantSplit/>
        </w:trPr>
        <w:tc>
          <w:tcPr>
            <w:tcW w:w="2287"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BMI (percentile)</w:t>
            </w:r>
          </w:p>
        </w:tc>
        <w:tc>
          <w:tcPr>
            <w:tcW w:w="1356"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-0.285</w:t>
            </w:r>
          </w:p>
        </w:tc>
        <w:tc>
          <w:tcPr>
            <w:tcW w:w="1357"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&lt;0.001*</w:t>
            </w:r>
          </w:p>
        </w:tc>
      </w:tr>
      <w:tr w:rsidR="009D5AD0" w:rsidTr="009D5AD0">
        <w:trPr>
          <w:cantSplit/>
        </w:trPr>
        <w:tc>
          <w:tcPr>
            <w:tcW w:w="2287"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Hemoglobin (mg/dl)</w:t>
            </w:r>
          </w:p>
        </w:tc>
        <w:tc>
          <w:tcPr>
            <w:tcW w:w="1356"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-0.208</w:t>
            </w:r>
          </w:p>
        </w:tc>
        <w:tc>
          <w:tcPr>
            <w:tcW w:w="1357"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0.008*</w:t>
            </w:r>
          </w:p>
        </w:tc>
      </w:tr>
      <w:tr w:rsidR="009D5AD0" w:rsidTr="009D5AD0">
        <w:trPr>
          <w:cantSplit/>
        </w:trPr>
        <w:tc>
          <w:tcPr>
            <w:tcW w:w="2287"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Platelets (x103/L)</w:t>
            </w:r>
          </w:p>
        </w:tc>
        <w:tc>
          <w:tcPr>
            <w:tcW w:w="1356"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0.082</w:t>
            </w:r>
          </w:p>
        </w:tc>
        <w:tc>
          <w:tcPr>
            <w:tcW w:w="1357"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0.302</w:t>
            </w:r>
          </w:p>
        </w:tc>
      </w:tr>
      <w:tr w:rsidR="009D5AD0" w:rsidTr="009D5AD0">
        <w:trPr>
          <w:cantSplit/>
        </w:trPr>
        <w:tc>
          <w:tcPr>
            <w:tcW w:w="2287" w:type="pct"/>
            <w:tcBorders>
              <w:top w:val="single" w:sz="6" w:space="0" w:color="auto"/>
              <w:left w:val="thinThickSmallGap" w:sz="24"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WBCs (x103/L)</w:t>
            </w:r>
          </w:p>
        </w:tc>
        <w:tc>
          <w:tcPr>
            <w:tcW w:w="1356" w:type="pct"/>
            <w:tcBorders>
              <w:top w:val="single" w:sz="6" w:space="0" w:color="auto"/>
              <w:left w:val="single" w:sz="6" w:space="0" w:color="auto"/>
              <w:bottom w:val="single" w:sz="6"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0.058</w:t>
            </w:r>
          </w:p>
        </w:tc>
        <w:tc>
          <w:tcPr>
            <w:tcW w:w="1357" w:type="pct"/>
            <w:tcBorders>
              <w:top w:val="single" w:sz="6" w:space="0" w:color="auto"/>
              <w:left w:val="single" w:sz="6" w:space="0" w:color="auto"/>
              <w:bottom w:val="single" w:sz="6"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0.466</w:t>
            </w:r>
          </w:p>
        </w:tc>
      </w:tr>
      <w:tr w:rsidR="009D5AD0" w:rsidTr="009D5AD0">
        <w:trPr>
          <w:cantSplit/>
        </w:trPr>
        <w:tc>
          <w:tcPr>
            <w:tcW w:w="2287" w:type="pct"/>
            <w:tcBorders>
              <w:top w:val="single" w:sz="6" w:space="0" w:color="auto"/>
              <w:left w:val="thinThickSmallGap" w:sz="24"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mRNA 204</w:t>
            </w:r>
          </w:p>
        </w:tc>
        <w:tc>
          <w:tcPr>
            <w:tcW w:w="1356" w:type="pct"/>
            <w:tcBorders>
              <w:top w:val="single" w:sz="6" w:space="0" w:color="auto"/>
              <w:left w:val="single" w:sz="6" w:space="0" w:color="auto"/>
              <w:bottom w:val="thickThinSmallGap" w:sz="24" w:space="0" w:color="auto"/>
              <w:right w:val="single" w:sz="6"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-0.629</w:t>
            </w:r>
          </w:p>
        </w:tc>
        <w:tc>
          <w:tcPr>
            <w:tcW w:w="1357" w:type="pct"/>
            <w:tcBorders>
              <w:top w:val="single" w:sz="6" w:space="0" w:color="auto"/>
              <w:left w:val="single" w:sz="6" w:space="0" w:color="auto"/>
              <w:bottom w:val="thickThinSmallGap" w:sz="24" w:space="0" w:color="auto"/>
              <w:right w:val="thickThinSmallGap" w:sz="24" w:space="0" w:color="auto"/>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&lt;0.001*</w:t>
            </w:r>
          </w:p>
        </w:tc>
      </w:tr>
    </w:tbl>
    <w:p w:rsidR="009D5AD0" w:rsidRDefault="009D5AD0" w:rsidP="009D5AD0">
      <w:pPr>
        <w:bidi w:val="0"/>
        <w:spacing w:after="120" w:line="240" w:lineRule="auto"/>
        <w:rPr>
          <w:rFonts w:asciiTheme="majorBidi" w:hAnsiTheme="majorBidi" w:cstheme="majorBidi"/>
          <w:sz w:val="24"/>
          <w:szCs w:val="24"/>
          <w:lang w:bidi="ar-EG"/>
        </w:rPr>
      </w:pPr>
      <w:proofErr w:type="gramStart"/>
      <w:r>
        <w:rPr>
          <w:rFonts w:asciiTheme="majorBidi" w:hAnsiTheme="majorBidi" w:cstheme="majorBidi"/>
          <w:sz w:val="24"/>
          <w:szCs w:val="24"/>
          <w:lang w:bidi="ar-EG"/>
        </w:rPr>
        <w:t>r</w:t>
      </w:r>
      <w:proofErr w:type="gramEnd"/>
      <w:r>
        <w:rPr>
          <w:rFonts w:asciiTheme="majorBidi" w:hAnsiTheme="majorBidi" w:cstheme="majorBidi"/>
          <w:sz w:val="24"/>
          <w:szCs w:val="24"/>
          <w:lang w:bidi="ar-EG"/>
        </w:rPr>
        <w:t>: correlation coefficient, *: significant</w:t>
      </w:r>
    </w:p>
    <w:p w:rsidR="009D5AD0" w:rsidRDefault="009D5AD0" w:rsidP="009D5AD0">
      <w:pPr>
        <w:bidi w:val="0"/>
        <w:spacing w:after="120" w:line="240" w:lineRule="auto"/>
        <w:rPr>
          <w:rFonts w:asciiTheme="majorBidi" w:hAnsiTheme="majorBidi" w:cstheme="majorBidi"/>
          <w:sz w:val="24"/>
          <w:szCs w:val="24"/>
          <w:lang w:bidi="ar-EG"/>
        </w:rPr>
      </w:pPr>
    </w:p>
    <w:p w:rsidR="009D5AD0" w:rsidRDefault="009D5AD0" w:rsidP="009D5AD0">
      <w:pPr>
        <w:bidi w:val="0"/>
        <w:spacing w:after="12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lastRenderedPageBreak/>
        <w:t>Table 6: Univariate and multivariate regression analysis of the factors that can predict risk of H pylori infection in the studied group</w:t>
      </w:r>
    </w:p>
    <w:tbl>
      <w:tblPr>
        <w:tblW w:w="5214" w:type="pct"/>
        <w:jc w:val="center"/>
        <w:tblBorders>
          <w:top w:val="thinThickSmallGap" w:sz="24" w:space="0" w:color="262626"/>
          <w:left w:val="thinThickSmallGap" w:sz="24" w:space="0" w:color="262626"/>
          <w:bottom w:val="thickThinSmallGap" w:sz="24" w:space="0" w:color="262626"/>
          <w:right w:val="thickThinSmallGap" w:sz="24" w:space="0" w:color="262626"/>
          <w:insideH w:val="single" w:sz="6" w:space="0" w:color="262626"/>
          <w:insideV w:val="single" w:sz="6" w:space="0" w:color="262626"/>
        </w:tblBorders>
        <w:tblLook w:val="04A0" w:firstRow="1" w:lastRow="0" w:firstColumn="1" w:lastColumn="0" w:noHBand="0" w:noVBand="1"/>
      </w:tblPr>
      <w:tblGrid>
        <w:gridCol w:w="2216"/>
        <w:gridCol w:w="2116"/>
        <w:gridCol w:w="1131"/>
        <w:gridCol w:w="1981"/>
        <w:gridCol w:w="1124"/>
      </w:tblGrid>
      <w:tr w:rsidR="009D5AD0" w:rsidTr="009D5AD0">
        <w:trPr>
          <w:trHeight w:val="288"/>
          <w:jc w:val="center"/>
        </w:trPr>
        <w:tc>
          <w:tcPr>
            <w:tcW w:w="1293" w:type="pct"/>
            <w:vMerge w:val="restart"/>
            <w:tcBorders>
              <w:top w:val="thinThickSmallGap" w:sz="24" w:space="0" w:color="262626"/>
              <w:left w:val="thinThickSmallGap" w:sz="24" w:space="0" w:color="262626"/>
              <w:bottom w:val="single" w:sz="6" w:space="0" w:color="262626"/>
              <w:right w:val="single" w:sz="6" w:space="0" w:color="262626"/>
            </w:tcBorders>
            <w:shd w:val="clear" w:color="auto" w:fill="auto"/>
            <w:vAlign w:val="center"/>
          </w:tcPr>
          <w:p w:rsidR="009D5AD0" w:rsidRDefault="009D5AD0" w:rsidP="009D5AD0">
            <w:pPr>
              <w:bidi w:val="0"/>
              <w:spacing w:after="0" w:line="240" w:lineRule="auto"/>
              <w:rPr>
                <w:rFonts w:asciiTheme="majorBidi" w:hAnsiTheme="majorBidi" w:cstheme="majorBidi"/>
                <w:b/>
                <w:bCs/>
                <w:sz w:val="24"/>
                <w:szCs w:val="24"/>
                <w:lang w:bidi="ar-EG"/>
              </w:rPr>
            </w:pPr>
          </w:p>
        </w:tc>
        <w:tc>
          <w:tcPr>
            <w:tcW w:w="1895" w:type="pct"/>
            <w:gridSpan w:val="2"/>
            <w:tcBorders>
              <w:top w:val="thinThickSmallGap" w:sz="24"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Univariate analysis</w:t>
            </w:r>
          </w:p>
        </w:tc>
        <w:tc>
          <w:tcPr>
            <w:tcW w:w="1812" w:type="pct"/>
            <w:gridSpan w:val="2"/>
            <w:tcBorders>
              <w:top w:val="thinThickSmallGap" w:sz="24" w:space="0" w:color="262626"/>
              <w:left w:val="single" w:sz="6" w:space="0" w:color="262626"/>
              <w:bottom w:val="single" w:sz="6" w:space="0" w:color="262626"/>
              <w:right w:val="thickThinSmallGap" w:sz="24"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Multivariate analysis</w:t>
            </w:r>
          </w:p>
        </w:tc>
      </w:tr>
      <w:tr w:rsidR="009D5AD0" w:rsidTr="009D5AD0">
        <w:trPr>
          <w:trHeight w:val="288"/>
          <w:jc w:val="center"/>
        </w:trPr>
        <w:tc>
          <w:tcPr>
            <w:tcW w:w="0" w:type="auto"/>
            <w:vMerge/>
            <w:tcBorders>
              <w:top w:val="thinThickSmallGap" w:sz="24" w:space="0" w:color="262626"/>
              <w:left w:val="thinThickSmallGap" w:sz="24"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p>
        </w:tc>
        <w:tc>
          <w:tcPr>
            <w:tcW w:w="1235"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OR (95% CI)</w:t>
            </w:r>
          </w:p>
        </w:tc>
        <w:tc>
          <w:tcPr>
            <w:tcW w:w="659"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P value</w:t>
            </w:r>
          </w:p>
        </w:tc>
        <w:tc>
          <w:tcPr>
            <w:tcW w:w="1156"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OR (95% CI)</w:t>
            </w:r>
          </w:p>
        </w:tc>
        <w:tc>
          <w:tcPr>
            <w:tcW w:w="656" w:type="pct"/>
            <w:tcBorders>
              <w:top w:val="single" w:sz="6" w:space="0" w:color="262626"/>
              <w:left w:val="single" w:sz="6" w:space="0" w:color="262626"/>
              <w:bottom w:val="single" w:sz="6" w:space="0" w:color="262626"/>
              <w:right w:val="thickThinSmallGap" w:sz="24"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P value</w:t>
            </w:r>
          </w:p>
        </w:tc>
      </w:tr>
      <w:tr w:rsidR="009D5AD0" w:rsidTr="009D5AD0">
        <w:trPr>
          <w:trHeight w:val="288"/>
          <w:jc w:val="center"/>
        </w:trPr>
        <w:tc>
          <w:tcPr>
            <w:tcW w:w="1293" w:type="pct"/>
            <w:tcBorders>
              <w:top w:val="single" w:sz="6" w:space="0" w:color="262626"/>
              <w:left w:val="thinThickSmallGap" w:sz="24"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GI bleeding</w:t>
            </w:r>
          </w:p>
        </w:tc>
        <w:tc>
          <w:tcPr>
            <w:tcW w:w="1235"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2.22 (1.11 – 9.73)</w:t>
            </w:r>
          </w:p>
        </w:tc>
        <w:tc>
          <w:tcPr>
            <w:tcW w:w="659"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0.041*</w:t>
            </w:r>
          </w:p>
        </w:tc>
        <w:tc>
          <w:tcPr>
            <w:tcW w:w="1156"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1.37 (0.88 – 10.6)</w:t>
            </w:r>
          </w:p>
        </w:tc>
        <w:tc>
          <w:tcPr>
            <w:tcW w:w="656" w:type="pct"/>
            <w:tcBorders>
              <w:top w:val="single" w:sz="6" w:space="0" w:color="262626"/>
              <w:left w:val="single" w:sz="6" w:space="0" w:color="262626"/>
              <w:bottom w:val="single" w:sz="6" w:space="0" w:color="262626"/>
              <w:right w:val="thickThinSmallGap" w:sz="24"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0.09</w:t>
            </w:r>
          </w:p>
        </w:tc>
      </w:tr>
      <w:tr w:rsidR="009D5AD0" w:rsidTr="009D5AD0">
        <w:trPr>
          <w:trHeight w:val="288"/>
          <w:jc w:val="center"/>
        </w:trPr>
        <w:tc>
          <w:tcPr>
            <w:tcW w:w="1293" w:type="pct"/>
            <w:tcBorders>
              <w:top w:val="single" w:sz="6" w:space="0" w:color="262626"/>
              <w:left w:val="thinThickSmallGap" w:sz="24"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BMI</w:t>
            </w:r>
          </w:p>
        </w:tc>
        <w:tc>
          <w:tcPr>
            <w:tcW w:w="1235"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0.87 (0.59 – 1.81)</w:t>
            </w:r>
          </w:p>
        </w:tc>
        <w:tc>
          <w:tcPr>
            <w:tcW w:w="659"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0.032*</w:t>
            </w:r>
          </w:p>
        </w:tc>
        <w:tc>
          <w:tcPr>
            <w:tcW w:w="1156"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0.96 (0.78 – 1.63)</w:t>
            </w:r>
          </w:p>
        </w:tc>
        <w:tc>
          <w:tcPr>
            <w:tcW w:w="656" w:type="pct"/>
            <w:tcBorders>
              <w:top w:val="single" w:sz="6" w:space="0" w:color="262626"/>
              <w:left w:val="single" w:sz="6" w:space="0" w:color="262626"/>
              <w:bottom w:val="single" w:sz="6" w:space="0" w:color="262626"/>
              <w:right w:val="thickThinSmallGap" w:sz="24"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0.12</w:t>
            </w:r>
          </w:p>
        </w:tc>
      </w:tr>
      <w:tr w:rsidR="009D5AD0" w:rsidTr="009D5AD0">
        <w:trPr>
          <w:trHeight w:val="288"/>
          <w:jc w:val="center"/>
        </w:trPr>
        <w:tc>
          <w:tcPr>
            <w:tcW w:w="1293" w:type="pct"/>
            <w:tcBorders>
              <w:top w:val="single" w:sz="6" w:space="0" w:color="262626"/>
              <w:left w:val="thinThickSmallGap" w:sz="24"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H pylori in stool</w:t>
            </w:r>
          </w:p>
        </w:tc>
        <w:tc>
          <w:tcPr>
            <w:tcW w:w="1235"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4.36 (1.4 – 16.3)</w:t>
            </w:r>
          </w:p>
        </w:tc>
        <w:tc>
          <w:tcPr>
            <w:tcW w:w="659"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0.015*</w:t>
            </w:r>
          </w:p>
        </w:tc>
        <w:tc>
          <w:tcPr>
            <w:tcW w:w="1156"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2.9 (0.52 –7.89)</w:t>
            </w:r>
          </w:p>
        </w:tc>
        <w:tc>
          <w:tcPr>
            <w:tcW w:w="656" w:type="pct"/>
            <w:tcBorders>
              <w:top w:val="single" w:sz="6" w:space="0" w:color="262626"/>
              <w:left w:val="single" w:sz="6" w:space="0" w:color="262626"/>
              <w:bottom w:val="single" w:sz="6" w:space="0" w:color="262626"/>
              <w:right w:val="thickThinSmallGap" w:sz="24"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0.042*</w:t>
            </w:r>
          </w:p>
        </w:tc>
      </w:tr>
      <w:tr w:rsidR="009D5AD0" w:rsidTr="009D5AD0">
        <w:trPr>
          <w:trHeight w:val="288"/>
          <w:jc w:val="center"/>
        </w:trPr>
        <w:tc>
          <w:tcPr>
            <w:tcW w:w="1293" w:type="pct"/>
            <w:tcBorders>
              <w:top w:val="single" w:sz="6" w:space="0" w:color="262626"/>
              <w:left w:val="thinThickSmallGap" w:sz="24"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mRNA 204</w:t>
            </w:r>
          </w:p>
        </w:tc>
        <w:tc>
          <w:tcPr>
            <w:tcW w:w="1235"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7.82 (2.6-19.1)</w:t>
            </w:r>
          </w:p>
        </w:tc>
        <w:tc>
          <w:tcPr>
            <w:tcW w:w="659"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&lt;0.001*</w:t>
            </w:r>
          </w:p>
        </w:tc>
        <w:tc>
          <w:tcPr>
            <w:tcW w:w="1156" w:type="pct"/>
            <w:tcBorders>
              <w:top w:val="single" w:sz="6" w:space="0" w:color="262626"/>
              <w:left w:val="single" w:sz="6" w:space="0" w:color="262626"/>
              <w:bottom w:val="single" w:sz="6"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6.7 (3.11 – 14.1)</w:t>
            </w:r>
          </w:p>
        </w:tc>
        <w:tc>
          <w:tcPr>
            <w:tcW w:w="656" w:type="pct"/>
            <w:tcBorders>
              <w:top w:val="single" w:sz="6" w:space="0" w:color="262626"/>
              <w:left w:val="single" w:sz="6" w:space="0" w:color="262626"/>
              <w:bottom w:val="single" w:sz="6" w:space="0" w:color="262626"/>
              <w:right w:val="thickThinSmallGap" w:sz="24"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&lt;0.001*</w:t>
            </w:r>
          </w:p>
        </w:tc>
      </w:tr>
      <w:tr w:rsidR="009D5AD0" w:rsidTr="009D5AD0">
        <w:trPr>
          <w:trHeight w:val="288"/>
          <w:jc w:val="center"/>
        </w:trPr>
        <w:tc>
          <w:tcPr>
            <w:tcW w:w="1293" w:type="pct"/>
            <w:tcBorders>
              <w:top w:val="single" w:sz="6" w:space="0" w:color="262626"/>
              <w:left w:val="thinThickSmallGap" w:sz="24" w:space="0" w:color="262626"/>
              <w:bottom w:val="thickThinSmallGap" w:sz="24"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mRNA 155</w:t>
            </w:r>
          </w:p>
        </w:tc>
        <w:tc>
          <w:tcPr>
            <w:tcW w:w="1235" w:type="pct"/>
            <w:tcBorders>
              <w:top w:val="single" w:sz="6" w:space="0" w:color="262626"/>
              <w:left w:val="single" w:sz="6" w:space="0" w:color="262626"/>
              <w:bottom w:val="thickThinSmallGap" w:sz="24" w:space="0" w:color="262626"/>
              <w:right w:val="single" w:sz="6" w:space="0" w:color="262626"/>
            </w:tcBorders>
            <w:shd w:val="clear" w:color="auto" w:fill="auto"/>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0.68 (0.49-1.32)</w:t>
            </w:r>
          </w:p>
        </w:tc>
        <w:tc>
          <w:tcPr>
            <w:tcW w:w="659" w:type="pct"/>
            <w:tcBorders>
              <w:top w:val="single" w:sz="6" w:space="0" w:color="262626"/>
              <w:left w:val="single" w:sz="6" w:space="0" w:color="262626"/>
              <w:bottom w:val="thickThinSmallGap" w:sz="24" w:space="0" w:color="262626"/>
              <w:right w:val="single" w:sz="6" w:space="0" w:color="262626"/>
            </w:tcBorders>
            <w:shd w:val="clear" w:color="auto" w:fill="auto"/>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0.031*</w:t>
            </w:r>
          </w:p>
        </w:tc>
        <w:tc>
          <w:tcPr>
            <w:tcW w:w="1156" w:type="pct"/>
            <w:tcBorders>
              <w:top w:val="single" w:sz="6" w:space="0" w:color="262626"/>
              <w:left w:val="single" w:sz="6" w:space="0" w:color="262626"/>
              <w:bottom w:val="thickThinSmallGap" w:sz="24" w:space="0" w:color="262626"/>
              <w:right w:val="single" w:sz="6"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sz w:val="24"/>
                <w:szCs w:val="24"/>
                <w:lang w:bidi="ar-EG"/>
              </w:rPr>
            </w:pPr>
            <w:r>
              <w:rPr>
                <w:rFonts w:asciiTheme="majorBidi" w:hAnsiTheme="majorBidi" w:cstheme="majorBidi"/>
                <w:sz w:val="24"/>
                <w:szCs w:val="24"/>
                <w:lang w:bidi="ar-EG"/>
              </w:rPr>
              <w:t>0.73 (0.53-1.2)</w:t>
            </w:r>
          </w:p>
        </w:tc>
        <w:tc>
          <w:tcPr>
            <w:tcW w:w="656" w:type="pct"/>
            <w:tcBorders>
              <w:top w:val="single" w:sz="6" w:space="0" w:color="262626"/>
              <w:left w:val="single" w:sz="6" w:space="0" w:color="262626"/>
              <w:bottom w:val="thickThinSmallGap" w:sz="24" w:space="0" w:color="262626"/>
              <w:right w:val="thickThinSmallGap" w:sz="24" w:space="0" w:color="262626"/>
            </w:tcBorders>
            <w:shd w:val="clear" w:color="auto" w:fill="auto"/>
            <w:vAlign w:val="center"/>
            <w:hideMark/>
          </w:tcPr>
          <w:p w:rsidR="009D5AD0" w:rsidRDefault="009D5AD0" w:rsidP="009D5AD0">
            <w:pPr>
              <w:bidi w:val="0"/>
              <w:spacing w:after="0"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0.009*</w:t>
            </w:r>
          </w:p>
        </w:tc>
      </w:tr>
    </w:tbl>
    <w:p w:rsidR="009D5AD0" w:rsidRDefault="009D5AD0" w:rsidP="009D5AD0">
      <w:pPr>
        <w:bidi w:val="0"/>
        <w:spacing w:after="120" w:line="240" w:lineRule="auto"/>
        <w:rPr>
          <w:rFonts w:asciiTheme="majorBidi" w:hAnsiTheme="majorBidi" w:cstheme="majorBidi"/>
          <w:sz w:val="24"/>
          <w:szCs w:val="24"/>
          <w:lang w:bidi="ar-EG"/>
        </w:rPr>
      </w:pPr>
      <w:r>
        <w:rPr>
          <w:rFonts w:asciiTheme="majorBidi" w:hAnsiTheme="majorBidi" w:cstheme="majorBidi"/>
          <w:sz w:val="24"/>
          <w:szCs w:val="24"/>
          <w:lang w:bidi="ar-EG"/>
        </w:rPr>
        <w:t>OR: odds ratio, CI: confidence interval, *: significant</w:t>
      </w:r>
    </w:p>
    <w:p w:rsidR="009D5AD0" w:rsidRDefault="009D5AD0" w:rsidP="009D5AD0">
      <w:pPr>
        <w:bidi w:val="0"/>
        <w:spacing w:after="120" w:line="240" w:lineRule="auto"/>
        <w:rPr>
          <w:rFonts w:asciiTheme="majorBidi" w:hAnsiTheme="majorBidi" w:cstheme="majorBidi"/>
          <w:sz w:val="24"/>
          <w:szCs w:val="24"/>
          <w:lang w:bidi="ar-EG"/>
        </w:rPr>
      </w:pPr>
    </w:p>
    <w:p w:rsidR="009D5AD0" w:rsidRDefault="009D5AD0" w:rsidP="009D5AD0">
      <w:pPr>
        <w:bidi w:val="0"/>
        <w:spacing w:after="120" w:line="240" w:lineRule="auto"/>
        <w:jc w:val="lowKashida"/>
        <w:rPr>
          <w:rFonts w:asciiTheme="majorBidi" w:hAnsiTheme="majorBidi" w:cstheme="majorBidi"/>
          <w:b/>
          <w:bCs/>
          <w:sz w:val="24"/>
          <w:szCs w:val="24"/>
          <w:lang w:bidi="ar-EG"/>
        </w:rPr>
      </w:pPr>
    </w:p>
    <w:p w:rsidR="009D5AD0" w:rsidRDefault="009D5AD0" w:rsidP="009D5AD0">
      <w:pPr>
        <w:bidi w:val="0"/>
        <w:spacing w:after="120" w:line="240" w:lineRule="auto"/>
        <w:jc w:val="lowKashida"/>
        <w:rPr>
          <w:rFonts w:asciiTheme="majorBidi" w:hAnsiTheme="majorBidi" w:cstheme="majorBidi"/>
          <w:sz w:val="24"/>
          <w:szCs w:val="24"/>
          <w:lang w:bidi="ar-EG"/>
        </w:rPr>
      </w:pPr>
    </w:p>
    <w:p w:rsidR="009D5AD0" w:rsidRDefault="009D5AD0" w:rsidP="009D5AD0">
      <w:pPr>
        <w:bidi w:val="0"/>
        <w:spacing w:after="120" w:line="240" w:lineRule="auto"/>
        <w:jc w:val="center"/>
        <w:rPr>
          <w:rFonts w:asciiTheme="majorBidi" w:hAnsiTheme="majorBidi" w:cstheme="majorBidi"/>
          <w:sz w:val="24"/>
          <w:szCs w:val="24"/>
          <w:lang w:bidi="ar-EG"/>
        </w:rPr>
      </w:pPr>
      <w:r>
        <w:rPr>
          <w:rFonts w:asciiTheme="majorBidi" w:hAnsiTheme="majorBidi" w:cstheme="majorBidi"/>
          <w:noProof/>
          <w:sz w:val="24"/>
          <w:szCs w:val="24"/>
        </w:rPr>
        <w:drawing>
          <wp:inline distT="0" distB="0" distL="0" distR="0">
            <wp:extent cx="4251960" cy="3398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1960" cy="3398520"/>
                    </a:xfrm>
                    <a:prstGeom prst="rect">
                      <a:avLst/>
                    </a:prstGeom>
                    <a:noFill/>
                    <a:ln>
                      <a:noFill/>
                    </a:ln>
                  </pic:spPr>
                </pic:pic>
              </a:graphicData>
            </a:graphic>
          </wp:inline>
        </w:drawing>
      </w:r>
    </w:p>
    <w:p w:rsidR="009D5AD0" w:rsidRDefault="009D5AD0" w:rsidP="009D5AD0">
      <w:pPr>
        <w:bidi w:val="0"/>
        <w:spacing w:after="120" w:line="240" w:lineRule="auto"/>
        <w:jc w:val="center"/>
        <w:rPr>
          <w:rFonts w:asciiTheme="majorBidi" w:hAnsiTheme="majorBidi" w:cstheme="majorBidi"/>
          <w:b/>
          <w:bCs/>
          <w:sz w:val="24"/>
          <w:szCs w:val="24"/>
          <w:lang w:bidi="ar-EG"/>
        </w:rPr>
      </w:pPr>
      <w:bookmarkStart w:id="1" w:name="_Toc210944534"/>
      <w:r>
        <w:rPr>
          <w:rFonts w:asciiTheme="majorBidi" w:hAnsiTheme="majorBidi" w:cstheme="majorBidi"/>
          <w:b/>
          <w:bCs/>
          <w:sz w:val="24"/>
          <w:szCs w:val="24"/>
          <w:lang w:bidi="ar-EG"/>
        </w:rPr>
        <w:t>Figure 1: mRNA 204 in the studied groups.</w:t>
      </w:r>
      <w:bookmarkEnd w:id="1"/>
    </w:p>
    <w:p w:rsidR="009D5AD0" w:rsidRDefault="009D5AD0" w:rsidP="009D5AD0">
      <w:pPr>
        <w:bidi w:val="0"/>
        <w:spacing w:after="120" w:line="240" w:lineRule="auto"/>
        <w:jc w:val="center"/>
        <w:rPr>
          <w:rFonts w:asciiTheme="majorBidi" w:hAnsiTheme="majorBidi" w:cstheme="majorBidi"/>
          <w:b/>
          <w:bCs/>
          <w:sz w:val="24"/>
          <w:szCs w:val="24"/>
          <w:lang w:bidi="ar-EG"/>
        </w:rPr>
      </w:pPr>
    </w:p>
    <w:p w:rsidR="009D5AD0" w:rsidRDefault="009D5AD0" w:rsidP="009D5AD0">
      <w:pPr>
        <w:bidi w:val="0"/>
        <w:spacing w:after="120" w:line="240" w:lineRule="auto"/>
        <w:jc w:val="center"/>
        <w:rPr>
          <w:rFonts w:asciiTheme="majorBidi" w:hAnsiTheme="majorBidi" w:cstheme="majorBidi"/>
          <w:sz w:val="24"/>
          <w:szCs w:val="24"/>
          <w:lang w:bidi="ar-EG"/>
        </w:rPr>
      </w:pPr>
      <w:r>
        <w:rPr>
          <w:rFonts w:asciiTheme="majorBidi" w:hAnsiTheme="majorBidi" w:cstheme="majorBidi"/>
          <w:noProof/>
          <w:sz w:val="24"/>
          <w:szCs w:val="24"/>
        </w:rPr>
        <w:lastRenderedPageBreak/>
        <w:drawing>
          <wp:inline distT="0" distB="0" distL="0" distR="0">
            <wp:extent cx="4328160" cy="3215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b="6960"/>
                    <a:stretch>
                      <a:fillRect/>
                    </a:stretch>
                  </pic:blipFill>
                  <pic:spPr bwMode="auto">
                    <a:xfrm>
                      <a:off x="0" y="0"/>
                      <a:ext cx="4328160" cy="3215640"/>
                    </a:xfrm>
                    <a:prstGeom prst="rect">
                      <a:avLst/>
                    </a:prstGeom>
                    <a:noFill/>
                    <a:ln>
                      <a:noFill/>
                    </a:ln>
                  </pic:spPr>
                </pic:pic>
              </a:graphicData>
            </a:graphic>
          </wp:inline>
        </w:drawing>
      </w:r>
    </w:p>
    <w:p w:rsidR="009D5AD0" w:rsidRDefault="009D5AD0" w:rsidP="009D5AD0">
      <w:pPr>
        <w:bidi w:val="0"/>
        <w:spacing w:after="120" w:line="240" w:lineRule="auto"/>
        <w:jc w:val="center"/>
        <w:rPr>
          <w:rFonts w:asciiTheme="majorBidi" w:hAnsiTheme="majorBidi" w:cstheme="majorBidi"/>
          <w:sz w:val="24"/>
          <w:szCs w:val="24"/>
          <w:lang w:bidi="ar-EG"/>
        </w:rPr>
      </w:pPr>
      <w:bookmarkStart w:id="2" w:name="_Toc210944535"/>
      <w:r>
        <w:rPr>
          <w:rFonts w:asciiTheme="majorBidi" w:hAnsiTheme="majorBidi" w:cstheme="majorBidi"/>
          <w:b/>
          <w:bCs/>
          <w:sz w:val="24"/>
          <w:szCs w:val="24"/>
          <w:lang w:bidi="ar-EG"/>
        </w:rPr>
        <w:t>Figure 2: mRNA 155 in the studied groups.</w:t>
      </w:r>
      <w:bookmarkEnd w:id="2"/>
    </w:p>
    <w:p w:rsidR="009D5AD0" w:rsidRDefault="009D5AD0" w:rsidP="009D5AD0">
      <w:pPr>
        <w:bidi w:val="0"/>
        <w:spacing w:after="120" w:line="240" w:lineRule="auto"/>
        <w:jc w:val="center"/>
        <w:rPr>
          <w:rFonts w:asciiTheme="majorBidi" w:hAnsiTheme="majorBidi" w:cstheme="majorBidi"/>
          <w:sz w:val="24"/>
          <w:szCs w:val="24"/>
          <w:lang w:bidi="ar-EG"/>
        </w:rPr>
      </w:pPr>
      <w:r>
        <w:rPr>
          <w:rFonts w:asciiTheme="majorBidi" w:hAnsiTheme="majorBidi" w:cstheme="majorBidi"/>
          <w:noProof/>
          <w:sz w:val="24"/>
          <w:szCs w:val="24"/>
        </w:rPr>
        <w:drawing>
          <wp:inline distT="0" distB="0" distL="0" distR="0">
            <wp:extent cx="5242560" cy="38404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b="8530"/>
                    <a:stretch>
                      <a:fillRect/>
                    </a:stretch>
                  </pic:blipFill>
                  <pic:spPr bwMode="auto">
                    <a:xfrm>
                      <a:off x="0" y="0"/>
                      <a:ext cx="5242560" cy="3840480"/>
                    </a:xfrm>
                    <a:prstGeom prst="rect">
                      <a:avLst/>
                    </a:prstGeom>
                    <a:noFill/>
                    <a:ln>
                      <a:noFill/>
                    </a:ln>
                  </pic:spPr>
                </pic:pic>
              </a:graphicData>
            </a:graphic>
          </wp:inline>
        </w:drawing>
      </w:r>
    </w:p>
    <w:p w:rsidR="009D5AD0" w:rsidRDefault="009D5AD0" w:rsidP="009D5AD0">
      <w:pPr>
        <w:bidi w:val="0"/>
        <w:spacing w:after="120" w:line="240" w:lineRule="auto"/>
        <w:jc w:val="center"/>
        <w:rPr>
          <w:rFonts w:asciiTheme="majorBidi" w:hAnsiTheme="majorBidi" w:cstheme="majorBidi"/>
          <w:sz w:val="24"/>
          <w:szCs w:val="24"/>
          <w:lang w:bidi="ar-EG"/>
        </w:rPr>
      </w:pPr>
      <w:bookmarkStart w:id="3" w:name="_Toc210944545"/>
      <w:r>
        <w:rPr>
          <w:rFonts w:asciiTheme="majorBidi" w:hAnsiTheme="majorBidi" w:cstheme="majorBidi"/>
          <w:b/>
          <w:bCs/>
          <w:sz w:val="24"/>
          <w:szCs w:val="24"/>
          <w:lang w:bidi="ar-EG"/>
        </w:rPr>
        <w:t>Figure 3</w:t>
      </w:r>
      <w:r>
        <w:fldChar w:fldCharType="begin"/>
      </w:r>
      <w:r>
        <w:rPr>
          <w:rFonts w:asciiTheme="majorBidi" w:hAnsiTheme="majorBidi" w:cstheme="majorBidi"/>
          <w:b/>
          <w:bCs/>
          <w:sz w:val="24"/>
          <w:szCs w:val="24"/>
          <w:lang w:bidi="ar-EG"/>
        </w:rPr>
        <w:instrText xml:space="preserve"> SEQ Figure_ \* ARABIC </w:instrText>
      </w:r>
      <w:r>
        <w:fldChar w:fldCharType="separate"/>
      </w:r>
      <w:r>
        <w:fldChar w:fldCharType="end"/>
      </w:r>
      <w:r>
        <w:rPr>
          <w:rFonts w:asciiTheme="majorBidi" w:hAnsiTheme="majorBidi" w:cstheme="majorBidi"/>
          <w:b/>
          <w:bCs/>
          <w:sz w:val="24"/>
          <w:szCs w:val="24"/>
          <w:lang w:bidi="ar-EG"/>
        </w:rPr>
        <w:t>: ROC curve of performance of mRNA-204 and mRNA-155 to detect H. pylori infection</w:t>
      </w:r>
      <w:r>
        <w:rPr>
          <w:rFonts w:asciiTheme="majorBidi" w:hAnsiTheme="majorBidi" w:cstheme="majorBidi"/>
          <w:sz w:val="24"/>
          <w:szCs w:val="24"/>
          <w:lang w:bidi="ar-EG"/>
        </w:rPr>
        <w:t>.</w:t>
      </w:r>
      <w:bookmarkEnd w:id="3"/>
    </w:p>
    <w:p w:rsidR="009D5AD0" w:rsidRPr="00B1113F" w:rsidRDefault="009D5AD0" w:rsidP="009D5AD0">
      <w:pPr>
        <w:bidi w:val="0"/>
        <w:jc w:val="center"/>
        <w:rPr>
          <w:rFonts w:asciiTheme="majorBidi" w:hAnsiTheme="majorBidi" w:cstheme="majorBidi"/>
          <w:sz w:val="24"/>
          <w:szCs w:val="24"/>
          <w:rtl/>
          <w:lang w:bidi="ar-EG"/>
        </w:rPr>
      </w:pPr>
    </w:p>
    <w:sectPr w:rsidR="009D5AD0" w:rsidRPr="00B1113F" w:rsidSect="0075459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DB3E9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3A5C08"/>
    <w:multiLevelType w:val="hybridMultilevel"/>
    <w:tmpl w:val="B1720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AB0CA3"/>
    <w:multiLevelType w:val="hybridMultilevel"/>
    <w:tmpl w:val="F2BEF4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024FB"/>
    <w:multiLevelType w:val="multilevel"/>
    <w:tmpl w:val="196024F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9D75525"/>
    <w:multiLevelType w:val="hybridMultilevel"/>
    <w:tmpl w:val="AC48DD40"/>
    <w:lvl w:ilvl="0" w:tplc="4D54FA52">
      <w:numFmt w:val="bullet"/>
      <w:lvlText w:val="•"/>
      <w:lvlJc w:val="left"/>
      <w:pPr>
        <w:ind w:left="171" w:hanging="171"/>
      </w:pPr>
      <w:rPr>
        <w:rFonts w:ascii="Myriad Pro" w:eastAsia="Myriad Pro" w:hAnsi="Myriad Pro" w:cs="Myriad Pro" w:hint="default"/>
        <w:w w:val="96"/>
        <w:sz w:val="32"/>
        <w:szCs w:val="32"/>
      </w:rPr>
    </w:lvl>
    <w:lvl w:ilvl="1" w:tplc="88860FB0">
      <w:start w:val="1"/>
      <w:numFmt w:val="bullet"/>
      <w:lvlText w:val=""/>
      <w:lvlJc w:val="left"/>
      <w:pPr>
        <w:ind w:left="391" w:hanging="171"/>
      </w:pPr>
      <w:rPr>
        <w:rFonts w:ascii="Wingdings" w:hAnsi="Wingdings" w:hint="default"/>
        <w:w w:val="96"/>
        <w:sz w:val="28"/>
        <w:szCs w:val="28"/>
      </w:rPr>
    </w:lvl>
    <w:lvl w:ilvl="2" w:tplc="C53C1406">
      <w:numFmt w:val="bullet"/>
      <w:lvlText w:val="•"/>
      <w:lvlJc w:val="left"/>
      <w:pPr>
        <w:ind w:left="629" w:hanging="171"/>
      </w:pPr>
      <w:rPr>
        <w:rFonts w:hint="default"/>
      </w:rPr>
    </w:lvl>
    <w:lvl w:ilvl="3" w:tplc="D6FAB7FC">
      <w:numFmt w:val="bullet"/>
      <w:lvlText w:val="•"/>
      <w:lvlJc w:val="left"/>
      <w:pPr>
        <w:ind w:left="858" w:hanging="171"/>
      </w:pPr>
      <w:rPr>
        <w:rFonts w:hint="default"/>
      </w:rPr>
    </w:lvl>
    <w:lvl w:ilvl="4" w:tplc="F2BA8A74">
      <w:numFmt w:val="bullet"/>
      <w:lvlText w:val="•"/>
      <w:lvlJc w:val="left"/>
      <w:pPr>
        <w:ind w:left="1088" w:hanging="171"/>
      </w:pPr>
      <w:rPr>
        <w:rFonts w:hint="default"/>
      </w:rPr>
    </w:lvl>
    <w:lvl w:ilvl="5" w:tplc="10D054EC">
      <w:numFmt w:val="bullet"/>
      <w:lvlText w:val="•"/>
      <w:lvlJc w:val="left"/>
      <w:pPr>
        <w:ind w:left="1317" w:hanging="171"/>
      </w:pPr>
      <w:rPr>
        <w:rFonts w:hint="default"/>
      </w:rPr>
    </w:lvl>
    <w:lvl w:ilvl="6" w:tplc="433A58A0">
      <w:numFmt w:val="bullet"/>
      <w:lvlText w:val="•"/>
      <w:lvlJc w:val="left"/>
      <w:pPr>
        <w:ind w:left="1547" w:hanging="171"/>
      </w:pPr>
      <w:rPr>
        <w:rFonts w:hint="default"/>
      </w:rPr>
    </w:lvl>
    <w:lvl w:ilvl="7" w:tplc="7BD2C7CE">
      <w:numFmt w:val="bullet"/>
      <w:lvlText w:val="•"/>
      <w:lvlJc w:val="left"/>
      <w:pPr>
        <w:ind w:left="1776" w:hanging="171"/>
      </w:pPr>
      <w:rPr>
        <w:rFonts w:hint="default"/>
      </w:rPr>
    </w:lvl>
    <w:lvl w:ilvl="8" w:tplc="B1F24296">
      <w:numFmt w:val="bullet"/>
      <w:lvlText w:val="•"/>
      <w:lvlJc w:val="left"/>
      <w:pPr>
        <w:ind w:left="2006" w:hanging="171"/>
      </w:pPr>
      <w:rPr>
        <w:rFonts w:hint="default"/>
      </w:rPr>
    </w:lvl>
  </w:abstractNum>
  <w:abstractNum w:abstractNumId="5" w15:restartNumberingAfterBreak="0">
    <w:nsid w:val="33D650CE"/>
    <w:multiLevelType w:val="multilevel"/>
    <w:tmpl w:val="A6FA644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A9826D0"/>
    <w:multiLevelType w:val="multilevel"/>
    <w:tmpl w:val="3A9826D0"/>
    <w:lvl w:ilvl="0">
      <w:start w:val="1"/>
      <w:numFmt w:val="bullet"/>
      <w:lvlText w:val=""/>
      <w:lvlJc w:val="left"/>
      <w:pPr>
        <w:ind w:left="316" w:hanging="360"/>
      </w:pPr>
      <w:rPr>
        <w:rFonts w:ascii="Symbol" w:hAnsi="Symbol" w:hint="default"/>
      </w:rPr>
    </w:lvl>
    <w:lvl w:ilvl="1">
      <w:start w:val="1"/>
      <w:numFmt w:val="bullet"/>
      <w:lvlText w:val="o"/>
      <w:lvlJc w:val="left"/>
      <w:pPr>
        <w:ind w:left="1036" w:hanging="360"/>
      </w:pPr>
      <w:rPr>
        <w:rFonts w:ascii="Courier New" w:hAnsi="Courier New" w:cs="Courier New" w:hint="default"/>
      </w:rPr>
    </w:lvl>
    <w:lvl w:ilvl="2">
      <w:start w:val="1"/>
      <w:numFmt w:val="bullet"/>
      <w:lvlText w:val=""/>
      <w:lvlJc w:val="left"/>
      <w:pPr>
        <w:ind w:left="1756" w:hanging="360"/>
      </w:pPr>
      <w:rPr>
        <w:rFonts w:ascii="Wingdings" w:hAnsi="Wingdings" w:hint="default"/>
      </w:rPr>
    </w:lvl>
    <w:lvl w:ilvl="3">
      <w:start w:val="1"/>
      <w:numFmt w:val="bullet"/>
      <w:lvlText w:val=""/>
      <w:lvlJc w:val="left"/>
      <w:pPr>
        <w:ind w:left="2476" w:hanging="360"/>
      </w:pPr>
      <w:rPr>
        <w:rFonts w:ascii="Symbol" w:hAnsi="Symbol" w:hint="default"/>
      </w:rPr>
    </w:lvl>
    <w:lvl w:ilvl="4">
      <w:start w:val="1"/>
      <w:numFmt w:val="bullet"/>
      <w:lvlText w:val="o"/>
      <w:lvlJc w:val="left"/>
      <w:pPr>
        <w:ind w:left="3196" w:hanging="360"/>
      </w:pPr>
      <w:rPr>
        <w:rFonts w:ascii="Courier New" w:hAnsi="Courier New" w:cs="Courier New" w:hint="default"/>
      </w:rPr>
    </w:lvl>
    <w:lvl w:ilvl="5">
      <w:start w:val="1"/>
      <w:numFmt w:val="bullet"/>
      <w:lvlText w:val=""/>
      <w:lvlJc w:val="left"/>
      <w:pPr>
        <w:ind w:left="3916" w:hanging="360"/>
      </w:pPr>
      <w:rPr>
        <w:rFonts w:ascii="Wingdings" w:hAnsi="Wingdings" w:hint="default"/>
      </w:rPr>
    </w:lvl>
    <w:lvl w:ilvl="6">
      <w:start w:val="1"/>
      <w:numFmt w:val="bullet"/>
      <w:lvlText w:val=""/>
      <w:lvlJc w:val="left"/>
      <w:pPr>
        <w:ind w:left="4636" w:hanging="360"/>
      </w:pPr>
      <w:rPr>
        <w:rFonts w:ascii="Symbol" w:hAnsi="Symbol" w:hint="default"/>
      </w:rPr>
    </w:lvl>
    <w:lvl w:ilvl="7">
      <w:start w:val="1"/>
      <w:numFmt w:val="bullet"/>
      <w:lvlText w:val="o"/>
      <w:lvlJc w:val="left"/>
      <w:pPr>
        <w:ind w:left="5356" w:hanging="360"/>
      </w:pPr>
      <w:rPr>
        <w:rFonts w:ascii="Courier New" w:hAnsi="Courier New" w:cs="Courier New" w:hint="default"/>
      </w:rPr>
    </w:lvl>
    <w:lvl w:ilvl="8">
      <w:start w:val="1"/>
      <w:numFmt w:val="bullet"/>
      <w:lvlText w:val=""/>
      <w:lvlJc w:val="left"/>
      <w:pPr>
        <w:ind w:left="6076" w:hanging="360"/>
      </w:pPr>
      <w:rPr>
        <w:rFonts w:ascii="Wingdings" w:hAnsi="Wingdings" w:hint="default"/>
      </w:rPr>
    </w:lvl>
  </w:abstractNum>
  <w:abstractNum w:abstractNumId="7" w15:restartNumberingAfterBreak="0">
    <w:nsid w:val="3E58078D"/>
    <w:multiLevelType w:val="multilevel"/>
    <w:tmpl w:val="A6FA644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B36164E"/>
    <w:multiLevelType w:val="hybridMultilevel"/>
    <w:tmpl w:val="2CECB9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303A7C"/>
    <w:multiLevelType w:val="hybridMultilevel"/>
    <w:tmpl w:val="EC0ABCE8"/>
    <w:lvl w:ilvl="0" w:tplc="AF40BE7C">
      <w:start w:val="1"/>
      <w:numFmt w:val="bullet"/>
      <w:lvlText w:val=""/>
      <w:lvlJc w:val="left"/>
      <w:pPr>
        <w:tabs>
          <w:tab w:val="num" w:pos="720"/>
        </w:tabs>
        <w:ind w:left="720" w:hanging="360"/>
      </w:pPr>
      <w:rPr>
        <w:rFonts w:ascii="Wingdings" w:hAnsi="Wingdings" w:hint="default"/>
      </w:rPr>
    </w:lvl>
    <w:lvl w:ilvl="1" w:tplc="41282DBC" w:tentative="1">
      <w:start w:val="1"/>
      <w:numFmt w:val="bullet"/>
      <w:lvlText w:val=""/>
      <w:lvlJc w:val="left"/>
      <w:pPr>
        <w:tabs>
          <w:tab w:val="num" w:pos="1440"/>
        </w:tabs>
        <w:ind w:left="1440" w:hanging="360"/>
      </w:pPr>
      <w:rPr>
        <w:rFonts w:ascii="Wingdings" w:hAnsi="Wingdings" w:hint="default"/>
      </w:rPr>
    </w:lvl>
    <w:lvl w:ilvl="2" w:tplc="F0CC470E" w:tentative="1">
      <w:start w:val="1"/>
      <w:numFmt w:val="bullet"/>
      <w:lvlText w:val=""/>
      <w:lvlJc w:val="left"/>
      <w:pPr>
        <w:tabs>
          <w:tab w:val="num" w:pos="2160"/>
        </w:tabs>
        <w:ind w:left="2160" w:hanging="360"/>
      </w:pPr>
      <w:rPr>
        <w:rFonts w:ascii="Wingdings" w:hAnsi="Wingdings" w:hint="default"/>
      </w:rPr>
    </w:lvl>
    <w:lvl w:ilvl="3" w:tplc="734479BC" w:tentative="1">
      <w:start w:val="1"/>
      <w:numFmt w:val="bullet"/>
      <w:lvlText w:val=""/>
      <w:lvlJc w:val="left"/>
      <w:pPr>
        <w:tabs>
          <w:tab w:val="num" w:pos="2880"/>
        </w:tabs>
        <w:ind w:left="2880" w:hanging="360"/>
      </w:pPr>
      <w:rPr>
        <w:rFonts w:ascii="Wingdings" w:hAnsi="Wingdings" w:hint="default"/>
      </w:rPr>
    </w:lvl>
    <w:lvl w:ilvl="4" w:tplc="AC40B342" w:tentative="1">
      <w:start w:val="1"/>
      <w:numFmt w:val="bullet"/>
      <w:lvlText w:val=""/>
      <w:lvlJc w:val="left"/>
      <w:pPr>
        <w:tabs>
          <w:tab w:val="num" w:pos="3600"/>
        </w:tabs>
        <w:ind w:left="3600" w:hanging="360"/>
      </w:pPr>
      <w:rPr>
        <w:rFonts w:ascii="Wingdings" w:hAnsi="Wingdings" w:hint="default"/>
      </w:rPr>
    </w:lvl>
    <w:lvl w:ilvl="5" w:tplc="69985CEE" w:tentative="1">
      <w:start w:val="1"/>
      <w:numFmt w:val="bullet"/>
      <w:lvlText w:val=""/>
      <w:lvlJc w:val="left"/>
      <w:pPr>
        <w:tabs>
          <w:tab w:val="num" w:pos="4320"/>
        </w:tabs>
        <w:ind w:left="4320" w:hanging="360"/>
      </w:pPr>
      <w:rPr>
        <w:rFonts w:ascii="Wingdings" w:hAnsi="Wingdings" w:hint="default"/>
      </w:rPr>
    </w:lvl>
    <w:lvl w:ilvl="6" w:tplc="A1641BCE" w:tentative="1">
      <w:start w:val="1"/>
      <w:numFmt w:val="bullet"/>
      <w:lvlText w:val=""/>
      <w:lvlJc w:val="left"/>
      <w:pPr>
        <w:tabs>
          <w:tab w:val="num" w:pos="5040"/>
        </w:tabs>
        <w:ind w:left="5040" w:hanging="360"/>
      </w:pPr>
      <w:rPr>
        <w:rFonts w:ascii="Wingdings" w:hAnsi="Wingdings" w:hint="default"/>
      </w:rPr>
    </w:lvl>
    <w:lvl w:ilvl="7" w:tplc="0F7EB14E" w:tentative="1">
      <w:start w:val="1"/>
      <w:numFmt w:val="bullet"/>
      <w:lvlText w:val=""/>
      <w:lvlJc w:val="left"/>
      <w:pPr>
        <w:tabs>
          <w:tab w:val="num" w:pos="5760"/>
        </w:tabs>
        <w:ind w:left="5760" w:hanging="360"/>
      </w:pPr>
      <w:rPr>
        <w:rFonts w:ascii="Wingdings" w:hAnsi="Wingdings" w:hint="default"/>
      </w:rPr>
    </w:lvl>
    <w:lvl w:ilvl="8" w:tplc="990A86A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D87F5D"/>
    <w:multiLevelType w:val="hybridMultilevel"/>
    <w:tmpl w:val="E9A4C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CF75D2"/>
    <w:multiLevelType w:val="multilevel"/>
    <w:tmpl w:val="5ACF75D2"/>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num w:numId="1">
    <w:abstractNumId w:val="6"/>
  </w:num>
  <w:num w:numId="2">
    <w:abstractNumId w:val="0"/>
  </w:num>
  <w:num w:numId="3">
    <w:abstractNumId w:val="8"/>
  </w:num>
  <w:num w:numId="4">
    <w:abstractNumId w:val="11"/>
  </w:num>
  <w:num w:numId="5">
    <w:abstractNumId w:val="4"/>
  </w:num>
  <w:num w:numId="6">
    <w:abstractNumId w:val="2"/>
  </w:num>
  <w:num w:numId="7">
    <w:abstractNumId w:val="5"/>
  </w:num>
  <w:num w:numId="8">
    <w:abstractNumId w:val="3"/>
  </w:num>
  <w:num w:numId="9">
    <w:abstractNumId w:val="9"/>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91"/>
    <w:rsid w:val="000B3D0D"/>
    <w:rsid w:val="00194111"/>
    <w:rsid w:val="001D3FF6"/>
    <w:rsid w:val="001E1EFF"/>
    <w:rsid w:val="001E5377"/>
    <w:rsid w:val="001F5051"/>
    <w:rsid w:val="002E4EEA"/>
    <w:rsid w:val="003336A9"/>
    <w:rsid w:val="0041616F"/>
    <w:rsid w:val="00423138"/>
    <w:rsid w:val="004529C8"/>
    <w:rsid w:val="00540B58"/>
    <w:rsid w:val="005565AA"/>
    <w:rsid w:val="0057467F"/>
    <w:rsid w:val="005F2238"/>
    <w:rsid w:val="0061535D"/>
    <w:rsid w:val="0068022A"/>
    <w:rsid w:val="00695F04"/>
    <w:rsid w:val="006A61F0"/>
    <w:rsid w:val="00707401"/>
    <w:rsid w:val="00711A2B"/>
    <w:rsid w:val="00744082"/>
    <w:rsid w:val="0075459A"/>
    <w:rsid w:val="00770358"/>
    <w:rsid w:val="007F4455"/>
    <w:rsid w:val="00814A31"/>
    <w:rsid w:val="008A7428"/>
    <w:rsid w:val="008B10FF"/>
    <w:rsid w:val="008B4F27"/>
    <w:rsid w:val="008C5DEA"/>
    <w:rsid w:val="0090563F"/>
    <w:rsid w:val="0091660C"/>
    <w:rsid w:val="009403F7"/>
    <w:rsid w:val="009C600A"/>
    <w:rsid w:val="009D5AD0"/>
    <w:rsid w:val="00A6531D"/>
    <w:rsid w:val="00B1113F"/>
    <w:rsid w:val="00B464D8"/>
    <w:rsid w:val="00C36D5C"/>
    <w:rsid w:val="00C641F3"/>
    <w:rsid w:val="00CE77CD"/>
    <w:rsid w:val="00D12E0B"/>
    <w:rsid w:val="00D7740F"/>
    <w:rsid w:val="00D83556"/>
    <w:rsid w:val="00DB6227"/>
    <w:rsid w:val="00DC0587"/>
    <w:rsid w:val="00DD1A92"/>
    <w:rsid w:val="00E10F91"/>
    <w:rsid w:val="00E27EFF"/>
    <w:rsid w:val="00EB305B"/>
    <w:rsid w:val="00ED4FE6"/>
    <w:rsid w:val="00F93618"/>
    <w:rsid w:val="00FF26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08C5"/>
  <w15:chartTrackingRefBased/>
  <w15:docId w15:val="{0830B12F-64F7-4279-A320-C1633F98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6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84419">
      <w:bodyDiv w:val="1"/>
      <w:marLeft w:val="0"/>
      <w:marRight w:val="0"/>
      <w:marTop w:val="0"/>
      <w:marBottom w:val="0"/>
      <w:divBdr>
        <w:top w:val="none" w:sz="0" w:space="0" w:color="auto"/>
        <w:left w:val="none" w:sz="0" w:space="0" w:color="auto"/>
        <w:bottom w:val="none" w:sz="0" w:space="0" w:color="auto"/>
        <w:right w:val="none" w:sz="0" w:space="0" w:color="auto"/>
      </w:divBdr>
    </w:div>
    <w:div w:id="752550436">
      <w:bodyDiv w:val="1"/>
      <w:marLeft w:val="0"/>
      <w:marRight w:val="0"/>
      <w:marTop w:val="0"/>
      <w:marBottom w:val="0"/>
      <w:divBdr>
        <w:top w:val="none" w:sz="0" w:space="0" w:color="auto"/>
        <w:left w:val="none" w:sz="0" w:space="0" w:color="auto"/>
        <w:bottom w:val="none" w:sz="0" w:space="0" w:color="auto"/>
        <w:right w:val="none" w:sz="0" w:space="0" w:color="auto"/>
      </w:divBdr>
    </w:div>
    <w:div w:id="1656645793">
      <w:bodyDiv w:val="1"/>
      <w:marLeft w:val="0"/>
      <w:marRight w:val="0"/>
      <w:marTop w:val="0"/>
      <w:marBottom w:val="0"/>
      <w:divBdr>
        <w:top w:val="none" w:sz="0" w:space="0" w:color="auto"/>
        <w:left w:val="none" w:sz="0" w:space="0" w:color="auto"/>
        <w:bottom w:val="none" w:sz="0" w:space="0" w:color="auto"/>
        <w:right w:val="none" w:sz="0" w:space="0" w:color="auto"/>
      </w:divBdr>
    </w:div>
    <w:div w:id="207847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99331a272fb6ecba&amp;cs=0&amp;sxsrf=AE3TifMTr83p_PT8iO6pmWwmEyjoToGtKQ%3A1760007605275&amp;q=IL-23&amp;sa=X&amp;ved=2ahUKEwib1NOg-5aQAxXCdqQEHWCiKzoQxccNegQIIhAC&amp;mstk=AUtExfAplSji3Siyuyy8X-cYfYxYe1MDdRS1jxQxS6B2cYW1R6xJ4puP_JMd_h94k5GMMGA0pgmZVGmI7qrYkLjcP_m_qHIU5pIjp53_yRslbpGBLblLLOSGsJ1bpri0z9iIVHFU7FmWDzp34eKtK-bGty8pfR4DpkvwuFtMdqz0z57EyUnyxkwGxZZUb59bw0kQXmo6KcEL1aCad5qEp6DotPKA5pDiAjCskwFkKGcrHcWGFJcmboSFl4eEKT54WfP97m3bwXToz5l1Q6ckC-lKdCAx&amp;csui=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ogle.com/search?sca_esv=99331a272fb6ecba&amp;cs=0&amp;sxsrf=AE3TifMTr83p_PT8iO6pmWwmEyjoToGtKQ%3A1760007605275&amp;q=TNF-%CE%B1&amp;sa=X&amp;ved=2ahUKEwib1NOg-5aQAxXCdqQEHWCiKzoQxccNegQIIhAB&amp;mstk=AUtExfAplSji3Siyuyy8X-cYfYxYe1MDdRS1jxQxS6B2cYW1R6xJ4puP_JMd_h94k5GMMGA0pgmZVGmI7qrYkLjcP_m_qHIU5pIjp53_yRslbpGBLblLLOSGsJ1bpri0z9iIVHFU7FmWDzp34eKtK-bGty8pfR4DpkvwuFtMdqz0z57EyUnyxkwGxZZUb59bw0kQXmo6KcEL1aCad5qEp6DotPKA5pDiAjCskwFkKGcrHcWGFJcmboSFl4eEKT54WfP97m3bwXToz5l1Q6ckC-lKdCAx&amp;csui=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iencedirect.com/topics/medicine-and-dentistry/trpm3"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CA273-76B4-47D6-ACC0-43BFFC38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9234</Words>
  <Characters>52638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38</cp:revision>
  <dcterms:created xsi:type="dcterms:W3CDTF">2025-10-18T12:11:00Z</dcterms:created>
  <dcterms:modified xsi:type="dcterms:W3CDTF">2025-10-18T14:37:00Z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http://www.zotero.org/styles/elsevier-vancouver-author-date</vt:lpwstr>
  </property>
  <property fmtid="{D5CDD505-2E9C-101B-9397-08002B2CF9AE}" pid="9" name="Mendeley Recent Style Name 3_1">
    <vt:lpwstr>Elsevier - Vancouver (author-date)</vt:lpwstr>
  </property>
  <property fmtid="{D5CDD505-2E9C-101B-9397-08002B2CF9AE}" pid="10" name="Mendeley Recent Style Id 4_1">
    <vt:lpwstr>http://www.zotero.org/styles/emerald-harvard</vt:lpwstr>
  </property>
  <property fmtid="{D5CDD505-2E9C-101B-9397-08002B2CF9AE}" pid="11" name="Mendeley Recent Style Name 4_1">
    <vt:lpwstr>Emerald - Harvard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ies>
</file>